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9D" w:rsidRPr="009A299C" w:rsidRDefault="00C9369D" w:rsidP="009A299C">
      <w:pPr>
        <w:pStyle w:val="1"/>
        <w:keepNext w:val="0"/>
        <w:spacing w:line="400" w:lineRule="exact"/>
        <w:jc w:val="center"/>
        <w:rPr>
          <w:rFonts w:ascii="標楷體" w:eastAsia="標楷體" w:hAnsi="標楷體"/>
          <w:sz w:val="40"/>
          <w:szCs w:val="40"/>
        </w:rPr>
      </w:pPr>
      <w:r w:rsidRPr="009A299C">
        <w:rPr>
          <w:rFonts w:ascii="標楷體" w:eastAsia="標楷體" w:hAnsi="標楷體"/>
          <w:sz w:val="40"/>
          <w:szCs w:val="40"/>
        </w:rPr>
        <w:t>判斷是否具控制力之指引</w:t>
      </w:r>
    </w:p>
    <w:p w:rsidR="00C9369D" w:rsidRPr="00D52537" w:rsidRDefault="00C9369D" w:rsidP="00D52537">
      <w:pPr>
        <w:pStyle w:val="1"/>
        <w:keepNext w:val="0"/>
        <w:numPr>
          <w:ilvl w:val="0"/>
          <w:numId w:val="29"/>
        </w:numPr>
        <w:spacing w:line="400" w:lineRule="exact"/>
        <w:rPr>
          <w:rFonts w:ascii="標楷體" w:eastAsia="標楷體" w:hAnsi="標楷體"/>
          <w:sz w:val="32"/>
          <w:szCs w:val="32"/>
        </w:rPr>
      </w:pPr>
      <w:r w:rsidRPr="00D52537">
        <w:rPr>
          <w:rFonts w:ascii="標楷體" w:eastAsia="標楷體" w:hAnsi="標楷體" w:hint="eastAsia"/>
          <w:sz w:val="32"/>
          <w:szCs w:val="32"/>
        </w:rPr>
        <w:t>前言</w:t>
      </w:r>
    </w:p>
    <w:p w:rsidR="00DB2700" w:rsidRPr="00D52537" w:rsidRDefault="00DB2700" w:rsidP="00D52537">
      <w:pPr>
        <w:widowControl/>
        <w:spacing w:before="100" w:beforeAutospacing="1" w:after="100" w:afterAutospacing="1" w:line="400" w:lineRule="exact"/>
        <w:ind w:firstLineChars="200" w:firstLine="640"/>
        <w:jc w:val="both"/>
        <w:rPr>
          <w:rFonts w:ascii="標楷體" w:eastAsia="標楷體" w:hAnsi="標楷體" w:cs="Calibri"/>
          <w:kern w:val="0"/>
          <w:sz w:val="32"/>
          <w:szCs w:val="32"/>
          <w:lang w:val="en-GB"/>
        </w:rPr>
      </w:pPr>
      <w:r w:rsidRPr="00D52537">
        <w:rPr>
          <w:rFonts w:ascii="標楷體" w:eastAsia="標楷體" w:hAnsi="標楷體" w:cs="Calibri"/>
          <w:kern w:val="0"/>
          <w:sz w:val="32"/>
          <w:szCs w:val="32"/>
          <w:lang w:val="en-GB"/>
        </w:rPr>
        <w:t>IASB於2011年5月發布IFRS 10『合併財務報表』。IFRS 10取代IAS 27(2008)『合併及單獨財務報表』中</w:t>
      </w:r>
      <w:r w:rsidRPr="00D52537">
        <w:rPr>
          <w:rFonts w:ascii="標楷體" w:eastAsia="標楷體" w:hAnsi="標楷體" w:cs="Calibri" w:hint="eastAsia"/>
          <w:kern w:val="0"/>
          <w:sz w:val="32"/>
          <w:szCs w:val="32"/>
          <w:lang w:val="en-GB"/>
        </w:rPr>
        <w:t>原處理</w:t>
      </w:r>
      <w:r w:rsidRPr="00D52537">
        <w:rPr>
          <w:rFonts w:ascii="標楷體" w:eastAsia="標楷體" w:hAnsi="標楷體" w:cs="Calibri"/>
          <w:kern w:val="0"/>
          <w:sz w:val="32"/>
          <w:szCs w:val="32"/>
          <w:lang w:val="en-GB"/>
        </w:rPr>
        <w:t>合併財務報表規定之部分，同時亦取代SIC-12『合併：特殊目的個體』。</w:t>
      </w:r>
    </w:p>
    <w:p w:rsidR="00F2366A" w:rsidRPr="00D52537" w:rsidRDefault="00F2366A" w:rsidP="00D52537">
      <w:pPr>
        <w:widowControl/>
        <w:spacing w:before="100" w:beforeAutospacing="1" w:after="100" w:afterAutospacing="1" w:line="400" w:lineRule="exact"/>
        <w:ind w:firstLineChars="200" w:firstLine="640"/>
        <w:jc w:val="both"/>
        <w:rPr>
          <w:rFonts w:ascii="標楷體" w:eastAsia="標楷體" w:hAnsi="標楷體" w:cs="Calibri"/>
          <w:kern w:val="0"/>
          <w:sz w:val="32"/>
          <w:szCs w:val="32"/>
          <w:lang w:val="en-GB"/>
        </w:rPr>
      </w:pPr>
      <w:r w:rsidRPr="00D52537">
        <w:rPr>
          <w:rFonts w:ascii="標楷體" w:eastAsia="標楷體" w:hAnsi="標楷體" w:cs="Calibri"/>
          <w:kern w:val="0"/>
          <w:sz w:val="32"/>
          <w:szCs w:val="32"/>
          <w:lang w:val="en-GB"/>
        </w:rPr>
        <w:t>IFRS 10以「控制」之觀念作為評估一被投資者是否為子公司之決定因素。決定誰控制</w:t>
      </w:r>
      <w:proofErr w:type="gramStart"/>
      <w:r w:rsidRPr="00D52537">
        <w:rPr>
          <w:rFonts w:ascii="標楷體" w:eastAsia="標楷體" w:hAnsi="標楷體" w:cs="Calibri"/>
          <w:kern w:val="0"/>
          <w:sz w:val="32"/>
          <w:szCs w:val="32"/>
          <w:lang w:val="en-GB"/>
        </w:rPr>
        <w:t>一</w:t>
      </w:r>
      <w:proofErr w:type="gramEnd"/>
      <w:r w:rsidRPr="00D52537">
        <w:rPr>
          <w:rFonts w:ascii="標楷體" w:eastAsia="標楷體" w:hAnsi="標楷體" w:cs="Calibri"/>
          <w:kern w:val="0"/>
          <w:sz w:val="32"/>
          <w:szCs w:val="32"/>
          <w:lang w:val="en-GB"/>
        </w:rPr>
        <w:t>個體有時相對單純，例如，</w:t>
      </w:r>
      <w:r w:rsidRPr="00D52537">
        <w:rPr>
          <w:rFonts w:ascii="標楷體" w:eastAsia="標楷體" w:hAnsi="標楷體" w:cs="Calibri" w:hint="eastAsia"/>
          <w:kern w:val="0"/>
          <w:sz w:val="32"/>
          <w:szCs w:val="32"/>
          <w:lang w:val="en-GB"/>
        </w:rPr>
        <w:t>在</w:t>
      </w:r>
      <w:r w:rsidRPr="00D52537">
        <w:rPr>
          <w:rFonts w:ascii="標楷體" w:eastAsia="標楷體" w:hAnsi="標楷體" w:cs="Calibri"/>
          <w:kern w:val="0"/>
          <w:sz w:val="32"/>
          <w:szCs w:val="32"/>
          <w:lang w:val="en-GB"/>
        </w:rPr>
        <w:t>可清楚看出持有人透過權益工具(例如普通股)所賦予之按比例表決權而對被投資者具控制時。在</w:t>
      </w:r>
      <w:r w:rsidRPr="00D52537">
        <w:rPr>
          <w:rFonts w:ascii="標楷體" w:eastAsia="標楷體" w:hAnsi="標楷體" w:cs="Calibri" w:hint="eastAsia"/>
          <w:kern w:val="0"/>
          <w:sz w:val="32"/>
          <w:szCs w:val="32"/>
          <w:lang w:val="en-GB"/>
        </w:rPr>
        <w:t>諸多</w:t>
      </w:r>
      <w:r w:rsidRPr="00D52537">
        <w:rPr>
          <w:rFonts w:ascii="標楷體" w:eastAsia="標楷體" w:hAnsi="標楷體" w:cs="Calibri"/>
          <w:kern w:val="0"/>
          <w:sz w:val="32"/>
          <w:szCs w:val="32"/>
          <w:lang w:val="en-GB"/>
        </w:rPr>
        <w:t>情況下，若無任何其他因素，持有多數該等表決權之投資者控制該被投資者。於較複雜之情況</w:t>
      </w:r>
      <w:r w:rsidRPr="00D52537">
        <w:rPr>
          <w:rFonts w:ascii="標楷體" w:eastAsia="標楷體" w:hAnsi="標楷體" w:cs="Calibri" w:hint="eastAsia"/>
          <w:kern w:val="0"/>
          <w:sz w:val="32"/>
          <w:szCs w:val="32"/>
          <w:lang w:val="en-GB"/>
        </w:rPr>
        <w:t>下則</w:t>
      </w:r>
      <w:r w:rsidRPr="00D52537">
        <w:rPr>
          <w:rFonts w:ascii="標楷體" w:eastAsia="標楷體" w:hAnsi="標楷體" w:cs="Calibri"/>
          <w:kern w:val="0"/>
          <w:sz w:val="32"/>
          <w:szCs w:val="32"/>
          <w:lang w:val="en-GB"/>
        </w:rPr>
        <w:t>須涉及更多判斷。</w:t>
      </w:r>
    </w:p>
    <w:p w:rsidR="00D47470" w:rsidRPr="00D52537" w:rsidRDefault="00F2366A" w:rsidP="00D52537">
      <w:pPr>
        <w:widowControl/>
        <w:spacing w:before="100" w:beforeAutospacing="1" w:after="100" w:afterAutospacing="1" w:line="400" w:lineRule="exact"/>
        <w:ind w:firstLineChars="200" w:firstLine="640"/>
        <w:jc w:val="both"/>
        <w:rPr>
          <w:rFonts w:ascii="標楷體" w:eastAsia="標楷體" w:hAnsi="標楷體" w:cs="Calibri"/>
          <w:kern w:val="0"/>
          <w:sz w:val="32"/>
          <w:szCs w:val="32"/>
          <w:lang w:val="en-GB"/>
        </w:rPr>
      </w:pPr>
      <w:r w:rsidRPr="00D52537">
        <w:rPr>
          <w:rFonts w:ascii="標楷體" w:eastAsia="標楷體" w:hAnsi="標楷體" w:cs="Calibri"/>
          <w:kern w:val="0"/>
          <w:sz w:val="32"/>
          <w:szCs w:val="32"/>
          <w:lang w:val="en-GB"/>
        </w:rPr>
        <w:t>IFRS 10所定義之控制包含三項要素：(1)</w:t>
      </w:r>
      <w:r w:rsidRPr="009C302F">
        <w:rPr>
          <w:rFonts w:ascii="標楷體" w:eastAsia="標楷體" w:hAnsi="標楷體" w:cs="Calibri"/>
          <w:kern w:val="0"/>
          <w:sz w:val="32"/>
          <w:szCs w:val="32"/>
          <w:lang w:val="en-GB"/>
        </w:rPr>
        <w:t>對被投資者之</w:t>
      </w:r>
      <w:r w:rsidRPr="009C302F">
        <w:rPr>
          <w:rFonts w:ascii="標楷體" w:eastAsia="標楷體" w:hAnsi="標楷體" w:cs="Calibri"/>
          <w:b/>
          <w:kern w:val="0"/>
          <w:sz w:val="32"/>
          <w:szCs w:val="32"/>
          <w:lang w:val="en-GB"/>
        </w:rPr>
        <w:t>權力</w:t>
      </w:r>
      <w:r w:rsidRPr="009C302F">
        <w:rPr>
          <w:rFonts w:ascii="標楷體" w:eastAsia="標楷體" w:hAnsi="標楷體" w:cs="Calibri"/>
          <w:kern w:val="0"/>
          <w:sz w:val="32"/>
          <w:szCs w:val="32"/>
          <w:lang w:val="en-GB"/>
        </w:rPr>
        <w:t>、(2)來自對被投資者之參與之</w:t>
      </w:r>
      <w:r w:rsidRPr="009C302F">
        <w:rPr>
          <w:rFonts w:ascii="標楷體" w:eastAsia="標楷體" w:hAnsi="標楷體" w:cs="Calibri"/>
          <w:b/>
          <w:kern w:val="0"/>
          <w:sz w:val="32"/>
          <w:szCs w:val="32"/>
          <w:lang w:val="en-GB"/>
        </w:rPr>
        <w:t>變動報酬</w:t>
      </w:r>
      <w:proofErr w:type="gramStart"/>
      <w:r w:rsidRPr="009C302F">
        <w:rPr>
          <w:rFonts w:ascii="標楷體" w:eastAsia="標楷體" w:hAnsi="標楷體" w:cs="Calibri"/>
          <w:kern w:val="0"/>
          <w:sz w:val="32"/>
          <w:szCs w:val="32"/>
          <w:lang w:val="en-GB"/>
        </w:rPr>
        <w:t>之暴險或</w:t>
      </w:r>
      <w:proofErr w:type="gramEnd"/>
      <w:r w:rsidRPr="009C302F">
        <w:rPr>
          <w:rFonts w:ascii="標楷體" w:eastAsia="標楷體" w:hAnsi="標楷體" w:cs="Calibri"/>
          <w:kern w:val="0"/>
          <w:sz w:val="32"/>
          <w:szCs w:val="32"/>
          <w:lang w:val="en-GB"/>
        </w:rPr>
        <w:t>權利，及(3)</w:t>
      </w:r>
      <w:r w:rsidRPr="009C302F">
        <w:rPr>
          <w:rFonts w:ascii="標楷體" w:eastAsia="標楷體" w:hAnsi="標楷體" w:cs="Calibri"/>
          <w:b/>
          <w:kern w:val="0"/>
          <w:sz w:val="32"/>
          <w:szCs w:val="32"/>
          <w:lang w:val="en-GB"/>
        </w:rPr>
        <w:t>使用</w:t>
      </w:r>
      <w:r w:rsidRPr="009C302F">
        <w:rPr>
          <w:rFonts w:ascii="標楷體" w:eastAsia="標楷體" w:hAnsi="標楷體" w:cs="Calibri"/>
          <w:kern w:val="0"/>
          <w:sz w:val="32"/>
          <w:szCs w:val="32"/>
          <w:lang w:val="en-GB"/>
        </w:rPr>
        <w:t>其對被投資者之</w:t>
      </w:r>
      <w:r w:rsidRPr="009C302F">
        <w:rPr>
          <w:rFonts w:ascii="標楷體" w:eastAsia="標楷體" w:hAnsi="標楷體" w:cs="Calibri"/>
          <w:b/>
          <w:kern w:val="0"/>
          <w:sz w:val="32"/>
          <w:szCs w:val="32"/>
          <w:lang w:val="en-GB"/>
        </w:rPr>
        <w:t>權力</w:t>
      </w:r>
      <w:r w:rsidRPr="009C302F">
        <w:rPr>
          <w:rFonts w:ascii="標楷體" w:eastAsia="標楷體" w:hAnsi="標楷體" w:cs="Calibri" w:hint="eastAsia"/>
          <w:b/>
          <w:kern w:val="0"/>
          <w:sz w:val="32"/>
          <w:szCs w:val="32"/>
          <w:lang w:val="en-GB"/>
        </w:rPr>
        <w:t>以</w:t>
      </w:r>
      <w:r w:rsidRPr="009C302F">
        <w:rPr>
          <w:rFonts w:ascii="標楷體" w:eastAsia="標楷體" w:hAnsi="標楷體" w:cs="Calibri"/>
          <w:b/>
          <w:kern w:val="0"/>
          <w:sz w:val="32"/>
          <w:szCs w:val="32"/>
          <w:lang w:val="en-GB"/>
        </w:rPr>
        <w:t>影響投資者報酬金額</w:t>
      </w:r>
      <w:r w:rsidRPr="00D52537">
        <w:rPr>
          <w:rFonts w:ascii="標楷體" w:eastAsia="標楷體" w:hAnsi="標楷體" w:cs="Calibri"/>
          <w:kern w:val="0"/>
          <w:sz w:val="32"/>
          <w:szCs w:val="32"/>
          <w:lang w:val="en-GB"/>
        </w:rPr>
        <w:t>之能力。投資者必須具有所有三項要素以斷定其控制一被投資者。控制之評估係基於具體事實</w:t>
      </w:r>
      <w:r w:rsidRPr="00D52537">
        <w:rPr>
          <w:rFonts w:ascii="標楷體" w:eastAsia="標楷體" w:hAnsi="標楷體" w:cs="Calibri" w:hint="eastAsia"/>
          <w:kern w:val="0"/>
          <w:sz w:val="32"/>
          <w:szCs w:val="32"/>
          <w:lang w:val="en-GB"/>
        </w:rPr>
        <w:t>及</w:t>
      </w:r>
      <w:r w:rsidRPr="00D52537">
        <w:rPr>
          <w:rFonts w:ascii="標楷體" w:eastAsia="標楷體" w:hAnsi="標楷體" w:cs="Calibri"/>
          <w:kern w:val="0"/>
          <w:sz w:val="32"/>
          <w:szCs w:val="32"/>
          <w:lang w:val="en-GB"/>
        </w:rPr>
        <w:t>情況，若三項要素中有任何變動</w:t>
      </w:r>
      <w:r w:rsidRPr="00D52537">
        <w:rPr>
          <w:rFonts w:ascii="標楷體" w:eastAsia="標楷體" w:hAnsi="標楷體" w:cs="Calibri" w:hint="eastAsia"/>
          <w:kern w:val="0"/>
          <w:sz w:val="32"/>
          <w:szCs w:val="32"/>
          <w:lang w:val="en-GB"/>
        </w:rPr>
        <w:t>跡象</w:t>
      </w:r>
      <w:r w:rsidRPr="00D52537">
        <w:rPr>
          <w:rFonts w:ascii="標楷體" w:eastAsia="標楷體" w:hAnsi="標楷體" w:cs="Calibri"/>
          <w:kern w:val="0"/>
          <w:sz w:val="32"/>
          <w:szCs w:val="32"/>
          <w:lang w:val="en-GB"/>
        </w:rPr>
        <w:t>，應重新評估</w:t>
      </w:r>
      <w:r w:rsidRPr="00D52537">
        <w:rPr>
          <w:rFonts w:ascii="標楷體" w:eastAsia="標楷體" w:hAnsi="標楷體" w:cs="Calibri" w:hint="eastAsia"/>
          <w:kern w:val="0"/>
          <w:sz w:val="32"/>
          <w:szCs w:val="32"/>
          <w:lang w:val="en-GB"/>
        </w:rPr>
        <w:t>其結論</w:t>
      </w:r>
      <w:r w:rsidRPr="00D52537">
        <w:rPr>
          <w:rFonts w:ascii="標楷體" w:eastAsia="標楷體" w:hAnsi="標楷體" w:cs="Calibri"/>
          <w:kern w:val="0"/>
          <w:sz w:val="32"/>
          <w:szCs w:val="32"/>
          <w:lang w:val="en-GB"/>
        </w:rPr>
        <w:t>。</w:t>
      </w:r>
    </w:p>
    <w:p w:rsidR="00D47470" w:rsidRPr="00D52537" w:rsidRDefault="00D47470" w:rsidP="00D52537">
      <w:pPr>
        <w:widowControl/>
        <w:spacing w:before="100" w:beforeAutospacing="1" w:after="100" w:afterAutospacing="1" w:line="400" w:lineRule="exact"/>
        <w:ind w:firstLineChars="200" w:firstLine="640"/>
        <w:jc w:val="both"/>
        <w:rPr>
          <w:rFonts w:ascii="標楷體" w:eastAsia="標楷體" w:hAnsi="標楷體" w:cs="Calibri"/>
          <w:kern w:val="0"/>
          <w:sz w:val="32"/>
          <w:szCs w:val="32"/>
          <w:lang w:val="en-GB"/>
        </w:rPr>
      </w:pPr>
      <w:r w:rsidRPr="00D52537">
        <w:rPr>
          <w:rFonts w:ascii="標楷體" w:eastAsia="標楷體" w:hAnsi="標楷體" w:cs="Calibri" w:hint="eastAsia"/>
          <w:kern w:val="0"/>
          <w:sz w:val="32"/>
          <w:szCs w:val="32"/>
          <w:lang w:val="en-GB"/>
        </w:rPr>
        <w:t>下圖描述控制之三項要素及其彼此間之關係。</w:t>
      </w:r>
    </w:p>
    <w:p w:rsidR="00D47470" w:rsidRDefault="001F66CA" w:rsidP="00D52537">
      <w:pPr>
        <w:widowControl/>
        <w:spacing w:beforeAutospacing="1" w:after="100" w:afterAutospacing="1"/>
        <w:jc w:val="both"/>
        <w:rPr>
          <w:rFonts w:eastAsia="標楷體" w:cs="Calibri"/>
          <w:kern w:val="0"/>
          <w:sz w:val="22"/>
          <w:lang w:val="en-GB"/>
        </w:rPr>
      </w:pPr>
      <w:r w:rsidRPr="001F66CA">
        <w:rPr>
          <w:noProof/>
        </w:rPr>
        <w:pict>
          <v:group id="群組 25" o:spid="_x0000_s1026" style="position:absolute;left:0;text-align:left;margin-left:15.7pt;margin-top:.55pt;width:423.2pt;height:114.7pt;z-index:251660288" coordsize="33334,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">
            <v:shapetype id="_x0000_t202" coordsize="21600,21600" o:spt="202" path="m,l,21600r21600,l21600,xe">
              <v:stroke joinstyle="miter"/>
              <v:path gradientshapeok="t" o:connecttype="rect"/>
            </v:shapetype>
            <v:shape id="文字方塊 8" o:spid="_x0000_s1027" type="#_x0000_t202" style="position:absolute;left:6524;top:1428;width:3048;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D47470" w:rsidRDefault="00D47470" w:rsidP="00D47470">
                    <w:r>
                      <w:rPr>
                        <w:rFonts w:asciiTheme="minorEastAsia" w:hAnsiTheme="minorEastAsia" w:hint="eastAsia"/>
                      </w:rPr>
                      <w:t>=</w:t>
                    </w:r>
                  </w:p>
                </w:txbxContent>
              </v:textbox>
            </v:shape>
            <v:group id="群組 27" o:spid="_x0000_s1028" style="position:absolute;width:33334;height:14570" coordsize="33334,14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文字方塊 9" o:spid="_x0000_s1029" type="#_x0000_t202" style="position:absolute;left:19383;top:1428;width:3048;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47470" w:rsidRDefault="00D47470" w:rsidP="00D47470">
                      <w:r>
                        <w:rPr>
                          <w:rFonts w:asciiTheme="minorEastAsia" w:hAnsiTheme="minorEastAsia" w:hint="eastAsia"/>
                        </w:rPr>
                        <w:t>+</w:t>
                      </w:r>
                    </w:p>
                  </w:txbxContent>
                </v:textbox>
              </v:shape>
              <v:group id="群組 29" o:spid="_x0000_s1030" style="position:absolute;width:33334;height:14570" coordsize="33334,14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1" style="position:absolute;top:1666;width:5905;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jMEA&#10;AADbAAAADwAAAGRycy9kb3ducmV2LnhtbERPy2rCQBTdC/7DcIVuik7sQ2OaibSFggsp+PiAS+aa&#10;hGbuhMxV0359ZyG4PJx3vh5cqy7Uh8azgfksAUVcettwZeB4+JqmoIIgW2w9k4FfCrAuxqMcM+uv&#10;vKPLXioVQzhkaKAW6TKtQ1mTwzDzHXHkTr53KBH2lbY9XmO4a/VTkiy0w4ZjQ40dfdZU/uzPzkD3&#10;/SKupW263L02j8u/VD7YrYx5mAzvb6CEBrmLb+6NNfAc18cv8Qfo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0YzBAAAA2wAAAA8AAAAAAAAAAAAAAAAAmAIAAGRycy9kb3du&#10;cmV2LnhtbFBLBQYAAAAABAAEAPUAAACGAwAAAAA=&#10;" fillcolor="#c7edcc" strokecolor="#4f81bd [3204]">
                  <v:textbox>
                    <w:txbxContent>
                      <w:p w:rsidR="00D47470" w:rsidRDefault="00D47470" w:rsidP="00D47470">
                        <w:pPr>
                          <w:spacing w:line="240" w:lineRule="exact"/>
                          <w:jc w:val="center"/>
                          <w:rPr>
                            <w:rFonts w:ascii="標楷體" w:eastAsia="標楷體" w:hAnsi="標楷體"/>
                            <w:sz w:val="22"/>
                          </w:rPr>
                        </w:pPr>
                        <w:r>
                          <w:rPr>
                            <w:rFonts w:ascii="標楷體" w:eastAsia="標楷體" w:hAnsi="標楷體" w:hint="eastAsia"/>
                            <w:sz w:val="22"/>
                          </w:rPr>
                          <w:t>控制</w:t>
                        </w:r>
                      </w:p>
                    </w:txbxContent>
                  </v:textbox>
                </v:rect>
                <v:rect id="矩形 31" o:spid="_x0000_s1032" style="position:absolute;left:10001;width:9191;height:5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0F8QA&#10;AADbAAAADwAAAGRycy9kb3ducmV2LnhtbESPUWvCQBCE3wv+h2MFX0q9aGuN0VO0IPRBBG1/wJJb&#10;k2BuL+RWjf31PaHQx2FmvmEWq87V6kptqDwbGA0TUMS5txUXBr6/ti8pqCDIFmvPZOBOAVbL3tMC&#10;M+tvfKDrUQoVIRwyNFCKNJnWIS/JYRj6hjh6J986lCjbQtsWbxHuaj1OknftsOK4UGJDHyXl5+PF&#10;GWj2b+Jq2qXTw6R6nv6ksmE3M2bQ79ZzUEKd/If/2p/WwOsIHl/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dBfEAAAA2wAAAA8AAAAAAAAAAAAAAAAAmAIAAGRycy9k&#10;b3ducmV2LnhtbFBLBQYAAAAABAAEAPUAAACJAwAAAAA=&#10;" fillcolor="#c7edcc" strokecolor="#4f81bd [3204]">
                  <v:textbox>
                    <w:txbxContent>
                      <w:p w:rsidR="00D47470" w:rsidRDefault="00D47470" w:rsidP="00D47470">
                        <w:pPr>
                          <w:spacing w:line="240" w:lineRule="exact"/>
                          <w:jc w:val="center"/>
                          <w:rPr>
                            <w:rFonts w:ascii="標楷體" w:eastAsia="標楷體" w:hAnsi="標楷體"/>
                            <w:sz w:val="22"/>
                          </w:rPr>
                        </w:pPr>
                        <w:r>
                          <w:rPr>
                            <w:rFonts w:ascii="Calibri" w:eastAsia="標楷體" w:hAnsi="Calibri" w:cs="Calibri" w:hint="eastAsia"/>
                            <w:kern w:val="0"/>
                            <w:sz w:val="22"/>
                            <w:lang w:val="en-GB"/>
                          </w:rPr>
                          <w:t>對被投資者之權力</w:t>
                        </w:r>
                      </w:p>
                    </w:txbxContent>
                  </v:textbox>
                </v:rect>
                <v:rect id="矩形 32" o:spid="_x0000_s1033" style="position:absolute;left:22431;width:10903;height:5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qYMQA&#10;AADbAAAADwAAAGRycy9kb3ducmV2LnhtbESPUWvCQBCE34X+h2MLvpR6qdWaRk/RQsEHEWL7A5bc&#10;Ngnm9kJuq9Ff7xUKPg4z8w2zWPWuUSfqQu3ZwMsoAUVceFtzaeD76/M5BRUE2WLjmQxcKMBq+TBY&#10;YGb9mXM6HaRUEcIhQwOVSJtpHYqKHIaRb4mj9+M7hxJlV2rb4TnCXaPHSfKmHdYcFyps6aOi4nj4&#10;dQba/URcQ7t0lk/rp9k1lQ27d2OGj/16Dkqol3v4v721Bl7H8Pcl/g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6mDEAAAA2wAAAA8AAAAAAAAAAAAAAAAAmAIAAGRycy9k&#10;b3ducmV2LnhtbFBLBQYAAAAABAAEAPUAAACJAwAAAAA=&#10;" fillcolor="#c7edcc" strokecolor="#4f81bd [3204]">
                  <v:textbox>
                    <w:txbxContent>
                      <w:p w:rsidR="00D47470" w:rsidRDefault="00D47470" w:rsidP="00D47470">
                        <w:pPr>
                          <w:spacing w:line="240" w:lineRule="exact"/>
                          <w:jc w:val="center"/>
                          <w:rPr>
                            <w:rFonts w:ascii="標楷體" w:eastAsia="標楷體" w:hAnsi="標楷體"/>
                            <w:sz w:val="22"/>
                          </w:rPr>
                        </w:pPr>
                        <w:r>
                          <w:rPr>
                            <w:rFonts w:ascii="Calibri" w:eastAsia="標楷體" w:hAnsi="Calibri" w:cs="Calibri" w:hint="eastAsia"/>
                            <w:kern w:val="0"/>
                            <w:sz w:val="22"/>
                            <w:lang w:val="en-GB"/>
                          </w:rPr>
                          <w:t>對變動報酬</w:t>
                        </w:r>
                        <w:proofErr w:type="gramStart"/>
                        <w:r>
                          <w:rPr>
                            <w:rFonts w:ascii="Calibri" w:eastAsia="標楷體" w:hAnsi="Calibri" w:cs="Calibri" w:hint="eastAsia"/>
                            <w:kern w:val="0"/>
                            <w:sz w:val="22"/>
                            <w:lang w:val="en-GB"/>
                          </w:rPr>
                          <w:t>之暴險或</w:t>
                        </w:r>
                        <w:proofErr w:type="gramEnd"/>
                        <w:r>
                          <w:rPr>
                            <w:rFonts w:ascii="Calibri" w:eastAsia="標楷體" w:hAnsi="Calibri" w:cs="Calibri" w:hint="eastAsia"/>
                            <w:kern w:val="0"/>
                            <w:sz w:val="22"/>
                            <w:lang w:val="en-GB"/>
                          </w:rPr>
                          <w:t>權利</w:t>
                        </w:r>
                      </w:p>
                    </w:txbxContent>
                  </v:textbox>
                </v:rect>
                <v:rect id="矩形 33" o:spid="_x0000_s1034" style="position:absolute;left:13668;top:9382;width:15097;height:5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P+8QA&#10;AADbAAAADwAAAGRycy9kb3ducmV2LnhtbESPUWvCQBCE34X+h2MLvhS9tFZNo6fUgtAHEaL+gCW3&#10;TYK5vZDbatpf3xMKPg4z8w2zXPeuURfqQu3ZwPM4AUVceFtzaeB03I5SUEGQLTaeycAPBVivHgZL&#10;zKy/ck6Xg5QqQjhkaKASaTOtQ1GRwzD2LXH0vnznUKLsSm07vEa4a/RLksy0w5rjQoUtfVRUnA/f&#10;zkC7fxXX0C6d59P6af6byobdmzHDx/59AUqol3v4v/1pDUwmcPsSf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T/vEAAAA2wAAAA8AAAAAAAAAAAAAAAAAmAIAAGRycy9k&#10;b3ducmV2LnhtbFBLBQYAAAAABAAEAPUAAACJAwAAAAA=&#10;" fillcolor="#c7edcc" strokecolor="#4f81bd [3204]">
                  <v:textbox>
                    <w:txbxContent>
                      <w:p w:rsidR="00D47470" w:rsidRDefault="00D47470" w:rsidP="00D47470">
                        <w:pPr>
                          <w:spacing w:line="240" w:lineRule="exact"/>
                          <w:jc w:val="center"/>
                          <w:rPr>
                            <w:rFonts w:ascii="標楷體" w:eastAsia="標楷體" w:hAnsi="標楷體"/>
                            <w:sz w:val="22"/>
                          </w:rPr>
                        </w:pPr>
                        <w:r>
                          <w:rPr>
                            <w:rFonts w:ascii="Calibri" w:eastAsia="標楷體" w:hAnsi="Calibri" w:cs="Calibri" w:hint="eastAsia"/>
                            <w:kern w:val="0"/>
                            <w:sz w:val="22"/>
                            <w:lang w:val="en-GB"/>
                          </w:rPr>
                          <w:t>使用權力以影響投資者報酬金額之能力</w:t>
                        </w:r>
                      </w:p>
                    </w:txbxContent>
                  </v:textbox>
                </v:rect>
                <v:group id="群組 34" o:spid="_x0000_s1035" style="position:absolute;left:15668;top:1666;width:11475;height:7906" coordorigin="15668,1666" coordsize="11474,7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拱形 35" o:spid="_x0000_s1036" style="position:absolute;left:15668;top:1666;width:11475;height:7525;rotation:180;visibility:visible;v-text-anchor:middle" coordsize="1147445,752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C1cYA&#10;AADbAAAADwAAAGRycy9kb3ducmV2LnhtbESP3WoCMRSE7wXfIRyhN1KzulXqahQtFFpBQVsE7w6b&#10;sz+4OVk3qW7fvikIXg4z8w0zX7amEldqXGlZwXAQgSBOrS45V/D99f78CsJ5ZI2VZVLwSw6Wi25n&#10;jom2N97T9eBzESDsElRQeF8nUrq0IINuYGvi4GW2MeiDbHKpG7wFuKnkKIom0mDJYaHAmt4KSs+H&#10;H6Pgst5PJ5/b8Wl37p8wf4mz4ybOlHrqtasZCE+tf4Tv7Q+tIB7D/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XC1cYAAADbAAAADwAAAAAAAAAAAAAAAACYAgAAZHJz&#10;L2Rvd25yZXYueG1sUEsFBgAAAAAEAAQA9QAAAIsDAAAAAA==&#10;" adj="-11796480,,5400" path="m,376238c,168447,256865,,573723,v316858,,573723,168447,573723,376238l959326,376238v,-103895,-172641,-188119,-385604,-188119c360759,188119,188118,272343,188118,376238l,376238xe" fillcolor="#eeece1 [3214]" strokecolor="#4f81bd [3204]">
                    <v:stroke joinstyle="miter"/>
                    <v:formulas/>
                    <v:path arrowok="t" o:connecttype="custom" o:connectlocs="0,376238;573723,0;1147446,376238;959326,376238;573722,188119;188118,376238;0,376238" o:connectangles="0,0,0,0,0,0,0" textboxrect="0,0,1147445,752475"/>
                    <v:textbox style="layout-flow:vertical-ideographic">
                      <w:txbxContent>
                        <w:p w:rsidR="00D47470" w:rsidRDefault="00D47470" w:rsidP="00D47470">
                          <w:pPr>
                            <w:rPr>
                              <w:rFonts w:ascii="標楷體" w:eastAsia="標楷體" w:hAnsi="標楷體"/>
                              <w:sz w:val="22"/>
                            </w:rPr>
                          </w:pPr>
                        </w:p>
                      </w:txbxContent>
                    </v:textbox>
                  </v:shape>
                  <v:shape id="文字方塊 10" o:spid="_x0000_s1037" type="#_x0000_t202" style="position:absolute;left:18954;top:6715;width:5477;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D47470" w:rsidRDefault="00D47470" w:rsidP="00D47470">
                          <w:pPr>
                            <w:rPr>
                              <w:rFonts w:ascii="標楷體" w:eastAsia="標楷體" w:hAnsi="標楷體"/>
                              <w:sz w:val="22"/>
                            </w:rPr>
                          </w:pPr>
                          <w:r>
                            <w:rPr>
                              <w:rFonts w:ascii="標楷體" w:eastAsia="標楷體" w:hAnsi="標楷體" w:hint="eastAsia"/>
                              <w:sz w:val="22"/>
                            </w:rPr>
                            <w:t>連結</w:t>
                          </w:r>
                        </w:p>
                      </w:txbxContent>
                    </v:textbox>
                  </v:shape>
                </v:group>
              </v:group>
            </v:group>
          </v:group>
        </w:pict>
      </w:r>
    </w:p>
    <w:p w:rsidR="00D47470" w:rsidRDefault="00D47470" w:rsidP="00D52537">
      <w:pPr>
        <w:widowControl/>
        <w:spacing w:before="100" w:beforeAutospacing="1" w:after="100" w:afterAutospacing="1"/>
        <w:jc w:val="both"/>
        <w:rPr>
          <w:rFonts w:eastAsia="標楷體" w:cs="Calibri"/>
          <w:kern w:val="0"/>
          <w:sz w:val="22"/>
          <w:lang w:val="en-GB"/>
        </w:rPr>
      </w:pPr>
    </w:p>
    <w:p w:rsidR="00D47470" w:rsidRDefault="00D47470" w:rsidP="00D52537">
      <w:pPr>
        <w:widowControl/>
        <w:spacing w:before="100" w:beforeAutospacing="1" w:after="100" w:afterAutospacing="1"/>
        <w:jc w:val="both"/>
        <w:rPr>
          <w:rFonts w:eastAsia="標楷體" w:cs="Calibri"/>
          <w:kern w:val="0"/>
          <w:sz w:val="22"/>
          <w:lang w:val="en-GB"/>
        </w:rPr>
      </w:pPr>
    </w:p>
    <w:p w:rsidR="00D47470" w:rsidRDefault="00D47470" w:rsidP="00D52537">
      <w:pPr>
        <w:widowControl/>
        <w:spacing w:before="100" w:beforeAutospacing="1" w:after="100" w:afterAutospacing="1"/>
        <w:jc w:val="both"/>
        <w:rPr>
          <w:rFonts w:eastAsia="標楷體" w:cs="Calibri"/>
          <w:kern w:val="0"/>
          <w:sz w:val="22"/>
          <w:lang w:val="en-GB"/>
        </w:rPr>
      </w:pPr>
    </w:p>
    <w:p w:rsidR="00605539" w:rsidRPr="00D52537" w:rsidRDefault="00605539" w:rsidP="00D52537">
      <w:pPr>
        <w:widowControl/>
        <w:spacing w:before="100" w:beforeAutospacing="1" w:after="100" w:afterAutospacing="1" w:line="400" w:lineRule="exact"/>
        <w:ind w:firstLineChars="200" w:firstLine="640"/>
        <w:jc w:val="both"/>
        <w:rPr>
          <w:rFonts w:eastAsia="標楷體" w:cs="Calibri"/>
          <w:kern w:val="0"/>
          <w:sz w:val="32"/>
          <w:szCs w:val="32"/>
          <w:lang w:val="en-GB"/>
        </w:rPr>
      </w:pPr>
      <w:r w:rsidRPr="00D52537">
        <w:rPr>
          <w:rFonts w:eastAsia="標楷體" w:cs="Calibri"/>
          <w:kern w:val="0"/>
          <w:sz w:val="32"/>
          <w:szCs w:val="32"/>
          <w:lang w:val="en-GB"/>
        </w:rPr>
        <w:t>整體而言，</w:t>
      </w:r>
      <w:r w:rsidRPr="00D52537">
        <w:rPr>
          <w:rFonts w:eastAsia="標楷體" w:cs="Calibri"/>
          <w:kern w:val="0"/>
          <w:sz w:val="32"/>
          <w:szCs w:val="32"/>
          <w:lang w:val="en-GB"/>
        </w:rPr>
        <w:t>IFRS 10</w:t>
      </w:r>
      <w:r w:rsidRPr="00D52537">
        <w:rPr>
          <w:rFonts w:eastAsia="標楷體" w:cs="Calibri"/>
          <w:kern w:val="0"/>
          <w:sz w:val="32"/>
          <w:szCs w:val="32"/>
          <w:lang w:val="en-GB"/>
        </w:rPr>
        <w:t>係</w:t>
      </w:r>
      <w:proofErr w:type="gramStart"/>
      <w:r w:rsidRPr="00D52537">
        <w:rPr>
          <w:rFonts w:eastAsia="標楷體" w:cs="Calibri"/>
          <w:kern w:val="0"/>
          <w:sz w:val="32"/>
          <w:szCs w:val="32"/>
          <w:lang w:val="en-GB"/>
        </w:rPr>
        <w:t>一</w:t>
      </w:r>
      <w:proofErr w:type="gramEnd"/>
      <w:r w:rsidRPr="00D52537">
        <w:rPr>
          <w:rFonts w:eastAsia="標楷體" w:cs="Calibri"/>
          <w:kern w:val="0"/>
          <w:sz w:val="32"/>
          <w:szCs w:val="32"/>
          <w:lang w:val="en-GB"/>
        </w:rPr>
        <w:t>複雜準則，並於諸多方面</w:t>
      </w:r>
      <w:r w:rsidRPr="00D52537">
        <w:rPr>
          <w:rFonts w:eastAsia="標楷體" w:cs="Calibri" w:hint="eastAsia"/>
          <w:kern w:val="0"/>
          <w:sz w:val="32"/>
          <w:szCs w:val="32"/>
          <w:lang w:val="en-GB"/>
        </w:rPr>
        <w:t>須</w:t>
      </w:r>
      <w:proofErr w:type="gramStart"/>
      <w:r w:rsidRPr="00D52537">
        <w:rPr>
          <w:rFonts w:eastAsia="標楷體" w:cs="Calibri"/>
          <w:kern w:val="0"/>
          <w:sz w:val="32"/>
          <w:szCs w:val="32"/>
          <w:lang w:val="en-GB"/>
        </w:rPr>
        <w:t>採</w:t>
      </w:r>
      <w:proofErr w:type="gramEnd"/>
      <w:r w:rsidRPr="00D52537">
        <w:rPr>
          <w:rFonts w:eastAsia="標楷體" w:cs="Calibri"/>
          <w:kern w:val="0"/>
          <w:sz w:val="32"/>
          <w:szCs w:val="32"/>
          <w:lang w:val="en-GB"/>
        </w:rPr>
        <w:t>行重大判斷。</w:t>
      </w:r>
      <w:proofErr w:type="gramStart"/>
      <w:r w:rsidRPr="00D52537">
        <w:rPr>
          <w:rFonts w:eastAsia="標楷體" w:cs="Calibri"/>
          <w:kern w:val="0"/>
          <w:sz w:val="32"/>
          <w:szCs w:val="32"/>
          <w:lang w:val="en-GB"/>
        </w:rPr>
        <w:t>以下彙</w:t>
      </w:r>
      <w:proofErr w:type="gramEnd"/>
      <w:r w:rsidRPr="00D52537">
        <w:rPr>
          <w:rFonts w:eastAsia="標楷體" w:cs="Calibri"/>
          <w:kern w:val="0"/>
          <w:sz w:val="32"/>
          <w:szCs w:val="32"/>
          <w:lang w:val="en-GB"/>
        </w:rPr>
        <w:t>總</w:t>
      </w:r>
      <w:r w:rsidRPr="00D52537">
        <w:rPr>
          <w:rFonts w:eastAsia="標楷體" w:cs="Calibri" w:hint="eastAsia"/>
          <w:kern w:val="0"/>
          <w:sz w:val="32"/>
          <w:szCs w:val="32"/>
          <w:lang w:val="en-GB"/>
        </w:rPr>
        <w:t>IFRS 10</w:t>
      </w:r>
      <w:r w:rsidRPr="00D52537">
        <w:rPr>
          <w:rFonts w:eastAsia="標楷體" w:cs="Calibri" w:hint="eastAsia"/>
          <w:kern w:val="0"/>
          <w:sz w:val="32"/>
          <w:szCs w:val="32"/>
          <w:lang w:val="en-GB"/>
        </w:rPr>
        <w:t>對判斷控制之主要架構，惟</w:t>
      </w:r>
      <w:r w:rsidRPr="00D52537">
        <w:rPr>
          <w:rFonts w:eastAsia="標楷體" w:cs="Calibri"/>
          <w:kern w:val="0"/>
          <w:sz w:val="32"/>
          <w:szCs w:val="32"/>
          <w:lang w:val="en-GB"/>
        </w:rPr>
        <w:t>並未說明</w:t>
      </w:r>
      <w:r w:rsidRPr="00D52537">
        <w:rPr>
          <w:rFonts w:eastAsia="標楷體" w:cs="Calibri"/>
          <w:kern w:val="0"/>
          <w:sz w:val="32"/>
          <w:szCs w:val="32"/>
          <w:lang w:val="en-GB"/>
        </w:rPr>
        <w:t>IFRS 10</w:t>
      </w:r>
      <w:r w:rsidRPr="00D52537">
        <w:rPr>
          <w:rFonts w:eastAsia="標楷體" w:cs="Calibri"/>
          <w:kern w:val="0"/>
          <w:sz w:val="32"/>
          <w:szCs w:val="32"/>
          <w:lang w:val="en-GB"/>
        </w:rPr>
        <w:t>之所有規定，使用者應參考</w:t>
      </w:r>
      <w:r w:rsidRPr="00D52537">
        <w:rPr>
          <w:rFonts w:eastAsia="標楷體" w:cs="Calibri"/>
          <w:kern w:val="0"/>
          <w:sz w:val="32"/>
          <w:szCs w:val="32"/>
          <w:lang w:val="en-GB"/>
        </w:rPr>
        <w:t>IFRS 10</w:t>
      </w:r>
      <w:r w:rsidRPr="00D52537">
        <w:rPr>
          <w:rFonts w:eastAsia="標楷體" w:cs="Calibri"/>
          <w:kern w:val="0"/>
          <w:sz w:val="32"/>
          <w:szCs w:val="32"/>
          <w:lang w:val="en-GB"/>
        </w:rPr>
        <w:t>之內文，</w:t>
      </w:r>
      <w:r w:rsidRPr="00D52537">
        <w:rPr>
          <w:rFonts w:eastAsia="標楷體" w:cs="Calibri" w:hint="eastAsia"/>
          <w:kern w:val="0"/>
          <w:sz w:val="32"/>
          <w:szCs w:val="32"/>
          <w:lang w:val="en-GB"/>
        </w:rPr>
        <w:t>以</w:t>
      </w:r>
      <w:r w:rsidRPr="00D52537">
        <w:rPr>
          <w:rFonts w:eastAsia="標楷體" w:cs="Calibri"/>
          <w:kern w:val="0"/>
          <w:sz w:val="32"/>
          <w:szCs w:val="32"/>
          <w:lang w:val="en-GB"/>
        </w:rPr>
        <w:t>深入了解其內容。</w:t>
      </w:r>
    </w:p>
    <w:p w:rsidR="00C9369D" w:rsidRPr="00D52537" w:rsidRDefault="00C9369D" w:rsidP="00D52537">
      <w:pPr>
        <w:pStyle w:val="1"/>
        <w:keepNext w:val="0"/>
        <w:numPr>
          <w:ilvl w:val="0"/>
          <w:numId w:val="29"/>
        </w:numPr>
        <w:spacing w:line="400" w:lineRule="exact"/>
        <w:rPr>
          <w:rFonts w:ascii="標楷體" w:eastAsia="標楷體" w:hAnsi="標楷體"/>
          <w:sz w:val="32"/>
          <w:szCs w:val="32"/>
        </w:rPr>
      </w:pPr>
      <w:r w:rsidRPr="00D52537">
        <w:rPr>
          <w:rFonts w:ascii="標楷體" w:eastAsia="標楷體" w:hAnsi="標楷體" w:hint="eastAsia"/>
          <w:sz w:val="32"/>
          <w:szCs w:val="32"/>
        </w:rPr>
        <w:lastRenderedPageBreak/>
        <w:t>指引內容</w:t>
      </w:r>
    </w:p>
    <w:p w:rsidR="006B0B76" w:rsidRPr="00D52537" w:rsidRDefault="00605539" w:rsidP="00D52537">
      <w:pPr>
        <w:pStyle w:val="abgheada"/>
        <w:spacing w:before="100" w:beforeAutospacing="1" w:after="100" w:afterAutospacing="1" w:line="400" w:lineRule="exact"/>
        <w:rPr>
          <w:rFonts w:ascii="標楷體" w:eastAsia="標楷體" w:hAnsi="標楷體" w:cs="Calibri"/>
          <w:sz w:val="32"/>
          <w:szCs w:val="32"/>
          <w:lang w:eastAsia="zh-TW"/>
        </w:rPr>
      </w:pPr>
      <w:r w:rsidRPr="00D52537">
        <w:rPr>
          <w:rFonts w:ascii="標楷體" w:eastAsia="標楷體" w:hAnsi="標楷體" w:cs="Calibri" w:hint="eastAsia"/>
          <w:sz w:val="32"/>
          <w:szCs w:val="32"/>
          <w:lang w:eastAsia="zh-TW"/>
        </w:rPr>
        <w:t>1</w:t>
      </w:r>
      <w:r w:rsidR="009627FB">
        <w:rPr>
          <w:rFonts w:ascii="標楷體" w:eastAsia="標楷體" w:hAnsi="標楷體" w:cs="Calibri" w:hint="eastAsia"/>
          <w:sz w:val="32"/>
          <w:szCs w:val="32"/>
          <w:lang w:eastAsia="zh-TW"/>
        </w:rPr>
        <w:t>.</w:t>
      </w:r>
      <w:r w:rsidR="008C00F8" w:rsidRPr="00D52537">
        <w:rPr>
          <w:rFonts w:ascii="標楷體" w:eastAsia="標楷體" w:hAnsi="標楷體" w:cs="Calibri" w:hint="eastAsia"/>
          <w:sz w:val="32"/>
          <w:szCs w:val="32"/>
          <w:lang w:eastAsia="zh-TW"/>
        </w:rPr>
        <w:t>第一項要素</w:t>
      </w:r>
      <w:proofErr w:type="gramStart"/>
      <w:r w:rsidR="008C00F8" w:rsidRPr="00D52537">
        <w:rPr>
          <w:rFonts w:ascii="標楷體" w:eastAsia="標楷體" w:hAnsi="標楷體" w:cs="Calibri"/>
          <w:sz w:val="32"/>
          <w:szCs w:val="32"/>
          <w:lang w:eastAsia="zh-TW"/>
        </w:rPr>
        <w:t>—</w:t>
      </w:r>
      <w:proofErr w:type="gramEnd"/>
      <w:r w:rsidR="006B0B76" w:rsidRPr="00D52537">
        <w:rPr>
          <w:rFonts w:ascii="標楷體" w:eastAsia="標楷體" w:hAnsi="標楷體" w:cs="Calibri" w:hint="eastAsia"/>
          <w:sz w:val="32"/>
          <w:szCs w:val="32"/>
          <w:lang w:eastAsia="zh-TW"/>
        </w:rPr>
        <w:t>對被投資者之權力</w:t>
      </w:r>
    </w:p>
    <w:p w:rsidR="00AF549A" w:rsidRPr="00D52537" w:rsidRDefault="00AF549A" w:rsidP="0055564D">
      <w:pPr>
        <w:spacing w:line="400" w:lineRule="exact"/>
        <w:ind w:firstLineChars="200" w:firstLine="640"/>
        <w:rPr>
          <w:rFonts w:ascii="標楷體" w:eastAsia="標楷體" w:hAnsi="標楷體"/>
          <w:sz w:val="32"/>
          <w:szCs w:val="32"/>
        </w:rPr>
      </w:pPr>
      <w:r w:rsidRPr="00D52537">
        <w:rPr>
          <w:rFonts w:ascii="標楷體" w:eastAsia="標楷體" w:hAnsi="標楷體" w:hint="eastAsia"/>
          <w:sz w:val="32"/>
          <w:szCs w:val="32"/>
        </w:rPr>
        <w:t>第一個要素對</w:t>
      </w:r>
      <w:r w:rsidR="00BD59D7" w:rsidRPr="00D52537">
        <w:rPr>
          <w:rFonts w:ascii="標楷體" w:eastAsia="標楷體" w:hAnsi="標楷體" w:hint="eastAsia"/>
          <w:sz w:val="32"/>
          <w:szCs w:val="32"/>
        </w:rPr>
        <w:t>「</w:t>
      </w:r>
      <w:r w:rsidRPr="00D52537">
        <w:rPr>
          <w:rFonts w:ascii="標楷體" w:eastAsia="標楷體" w:hAnsi="標楷體" w:hint="eastAsia"/>
          <w:sz w:val="32"/>
          <w:szCs w:val="32"/>
        </w:rPr>
        <w:t>被投資者的權力</w:t>
      </w:r>
      <w:r w:rsidR="00BD59D7" w:rsidRPr="00D52537">
        <w:rPr>
          <w:rFonts w:ascii="標楷體" w:eastAsia="標楷體" w:hAnsi="標楷體" w:hint="eastAsia"/>
          <w:sz w:val="32"/>
          <w:szCs w:val="32"/>
        </w:rPr>
        <w:t>」</w:t>
      </w:r>
      <w:r w:rsidRPr="00D52537">
        <w:rPr>
          <w:rFonts w:ascii="標楷體" w:eastAsia="標楷體" w:hAnsi="標楷體" w:hint="eastAsia"/>
          <w:sz w:val="32"/>
          <w:szCs w:val="32"/>
        </w:rPr>
        <w:t>又可以拆成三個次要素，包括</w:t>
      </w:r>
      <w:r w:rsidR="00BD59D7" w:rsidRPr="00D52537">
        <w:rPr>
          <w:rFonts w:ascii="標楷體" w:eastAsia="標楷體" w:hAnsi="標楷體" w:hint="eastAsia"/>
          <w:sz w:val="32"/>
          <w:szCs w:val="32"/>
        </w:rPr>
        <w:t>被投資者之</w:t>
      </w:r>
      <w:proofErr w:type="gramStart"/>
      <w:r w:rsidRPr="00D52537">
        <w:rPr>
          <w:rFonts w:ascii="標楷體" w:eastAsia="標楷體" w:hAnsi="標楷體" w:hint="eastAsia"/>
          <w:sz w:val="32"/>
          <w:szCs w:val="32"/>
        </w:rPr>
        <w:t>攸</w:t>
      </w:r>
      <w:proofErr w:type="gramEnd"/>
      <w:r w:rsidRPr="00D52537">
        <w:rPr>
          <w:rFonts w:ascii="標楷體" w:eastAsia="標楷體" w:hAnsi="標楷體" w:hint="eastAsia"/>
          <w:sz w:val="32"/>
          <w:szCs w:val="32"/>
        </w:rPr>
        <w:t>關活動、</w:t>
      </w:r>
      <w:r w:rsidR="00230D50" w:rsidRPr="00D52537">
        <w:rPr>
          <w:rFonts w:ascii="標楷體" w:eastAsia="標楷體" w:hAnsi="標楷體" w:hint="eastAsia"/>
          <w:sz w:val="32"/>
          <w:szCs w:val="32"/>
        </w:rPr>
        <w:t>投資者之</w:t>
      </w:r>
      <w:r w:rsidRPr="00D52537">
        <w:rPr>
          <w:rFonts w:ascii="標楷體" w:eastAsia="標楷體" w:hAnsi="標楷體" w:hint="eastAsia"/>
          <w:sz w:val="32"/>
          <w:szCs w:val="32"/>
        </w:rPr>
        <w:t>權利以及</w:t>
      </w:r>
      <w:r w:rsidR="00230D50" w:rsidRPr="00D52537">
        <w:rPr>
          <w:rFonts w:ascii="標楷體" w:eastAsia="標楷體" w:hAnsi="標楷體" w:hint="eastAsia"/>
          <w:sz w:val="32"/>
          <w:szCs w:val="32"/>
        </w:rPr>
        <w:t>權</w:t>
      </w:r>
      <w:r w:rsidR="00BD59D7" w:rsidRPr="00D52537">
        <w:rPr>
          <w:rFonts w:ascii="標楷體" w:eastAsia="標楷體" w:hAnsi="標楷體" w:hint="eastAsia"/>
          <w:sz w:val="32"/>
          <w:szCs w:val="32"/>
        </w:rPr>
        <w:t>利</w:t>
      </w:r>
      <w:r w:rsidR="00230D50" w:rsidRPr="00D52537">
        <w:rPr>
          <w:rFonts w:ascii="標楷體" w:eastAsia="標楷體" w:hAnsi="標楷體" w:hint="eastAsia"/>
          <w:sz w:val="32"/>
          <w:szCs w:val="32"/>
        </w:rPr>
        <w:t>之</w:t>
      </w:r>
      <w:r w:rsidRPr="00D52537">
        <w:rPr>
          <w:rFonts w:ascii="標楷體" w:eastAsia="標楷體" w:hAnsi="標楷體" w:hint="eastAsia"/>
          <w:sz w:val="32"/>
          <w:szCs w:val="32"/>
        </w:rPr>
        <w:t xml:space="preserve">實質性。 </w:t>
      </w:r>
    </w:p>
    <w:p w:rsidR="008C00F8" w:rsidRPr="00D52537" w:rsidRDefault="00AF549A" w:rsidP="00D52537">
      <w:pPr>
        <w:pStyle w:val="abgheadb"/>
        <w:spacing w:before="100" w:beforeAutospacing="1" w:after="100" w:afterAutospacing="1" w:line="400" w:lineRule="exact"/>
        <w:jc w:val="both"/>
        <w:rPr>
          <w:rFonts w:ascii="標楷體" w:eastAsia="標楷體" w:hAnsi="標楷體" w:cs="Calibri"/>
          <w:szCs w:val="32"/>
          <w:lang w:eastAsia="zh-TW"/>
        </w:rPr>
      </w:pPr>
      <w:r w:rsidRPr="00D52537">
        <w:rPr>
          <w:rFonts w:ascii="標楷體" w:eastAsia="標楷體" w:hAnsi="標楷體" w:cs="Calibri" w:hint="eastAsia"/>
          <w:szCs w:val="32"/>
          <w:lang w:eastAsia="zh-TW"/>
        </w:rPr>
        <w:t>1.1</w:t>
      </w:r>
      <w:proofErr w:type="gramStart"/>
      <w:r w:rsidR="008C00F8" w:rsidRPr="00D52537">
        <w:rPr>
          <w:rFonts w:ascii="標楷體" w:eastAsia="標楷體" w:hAnsi="標楷體" w:cs="Calibri" w:hint="eastAsia"/>
          <w:szCs w:val="32"/>
          <w:lang w:eastAsia="zh-TW"/>
        </w:rPr>
        <w:t>攸</w:t>
      </w:r>
      <w:proofErr w:type="gramEnd"/>
      <w:r w:rsidR="008C00F8" w:rsidRPr="00D52537">
        <w:rPr>
          <w:rFonts w:ascii="標楷體" w:eastAsia="標楷體" w:hAnsi="標楷體" w:cs="Calibri" w:hint="eastAsia"/>
          <w:szCs w:val="32"/>
          <w:lang w:eastAsia="zh-TW"/>
        </w:rPr>
        <w:t>關活動</w:t>
      </w:r>
    </w:p>
    <w:p w:rsidR="006B0B76" w:rsidRPr="00D52537" w:rsidRDefault="006B0B76" w:rsidP="0055564D">
      <w:pPr>
        <w:widowControl/>
        <w:spacing w:before="100" w:beforeAutospacing="1" w:after="100" w:afterAutospacing="1" w:line="400" w:lineRule="exact"/>
        <w:ind w:firstLineChars="200" w:firstLine="640"/>
        <w:jc w:val="both"/>
        <w:rPr>
          <w:rFonts w:ascii="標楷體" w:eastAsia="標楷體" w:hAnsi="標楷體" w:cs="TTB7CF9C5CtCID-WinCharSetFFFF-H"/>
          <w:color w:val="000000"/>
          <w:kern w:val="0"/>
          <w:sz w:val="32"/>
          <w:szCs w:val="32"/>
        </w:rPr>
      </w:pPr>
      <w:r w:rsidRPr="00D52537">
        <w:rPr>
          <w:rFonts w:ascii="標楷體" w:eastAsia="標楷體" w:hAnsi="標楷體" w:cs="Calibri" w:hint="eastAsia"/>
          <w:kern w:val="0"/>
          <w:sz w:val="32"/>
          <w:szCs w:val="32"/>
          <w:lang w:val="en-GB"/>
        </w:rPr>
        <w:t>當投資者</w:t>
      </w:r>
      <w:r w:rsidR="00631CE1" w:rsidRPr="00D52537">
        <w:rPr>
          <w:rFonts w:ascii="標楷體" w:eastAsia="標楷體" w:hAnsi="標楷體" w:cs="Calibri" w:hint="eastAsia"/>
          <w:kern w:val="0"/>
          <w:sz w:val="32"/>
          <w:szCs w:val="32"/>
          <w:lang w:val="en-GB"/>
        </w:rPr>
        <w:t>的</w:t>
      </w:r>
      <w:r w:rsidR="00631CE1" w:rsidRPr="00D52537">
        <w:rPr>
          <w:rFonts w:ascii="標楷體" w:eastAsia="標楷體" w:hAnsi="標楷體" w:cs="Calibri" w:hint="eastAsia"/>
          <w:b/>
          <w:kern w:val="0"/>
          <w:sz w:val="32"/>
          <w:szCs w:val="32"/>
          <w:lang w:val="en-GB"/>
        </w:rPr>
        <w:t>既存權利(right)</w:t>
      </w:r>
      <w:r w:rsidR="00631CE1" w:rsidRPr="00D52537">
        <w:rPr>
          <w:rFonts w:ascii="標楷體" w:eastAsia="標楷體" w:hAnsi="標楷體" w:cs="Calibri" w:hint="eastAsia"/>
          <w:kern w:val="0"/>
          <w:sz w:val="32"/>
          <w:szCs w:val="32"/>
          <w:lang w:val="en-GB"/>
        </w:rPr>
        <w:t>讓他</w:t>
      </w:r>
      <w:r w:rsidRPr="00D52537">
        <w:rPr>
          <w:rFonts w:ascii="標楷體" w:eastAsia="標楷體" w:hAnsi="標楷體" w:cs="Calibri" w:hint="eastAsia"/>
          <w:kern w:val="0"/>
          <w:sz w:val="32"/>
          <w:szCs w:val="32"/>
          <w:lang w:val="en-GB"/>
        </w:rPr>
        <w:t>有</w:t>
      </w:r>
      <w:r w:rsidRPr="00D52537">
        <w:rPr>
          <w:rFonts w:ascii="標楷體" w:eastAsia="標楷體" w:hAnsi="標楷體" w:cs="Calibri" w:hint="eastAsia"/>
          <w:b/>
          <w:kern w:val="0"/>
          <w:sz w:val="32"/>
          <w:szCs w:val="32"/>
          <w:lang w:val="en-GB"/>
        </w:rPr>
        <w:t>現時能力</w:t>
      </w:r>
      <w:r w:rsidR="00875758" w:rsidRPr="00D52537">
        <w:rPr>
          <w:rFonts w:ascii="標楷體" w:eastAsia="標楷體" w:hAnsi="標楷體" w:cs="Calibri" w:hint="eastAsia"/>
          <w:kern w:val="0"/>
          <w:sz w:val="32"/>
          <w:szCs w:val="32"/>
          <w:lang w:val="en-GB"/>
        </w:rPr>
        <w:t>去</w:t>
      </w:r>
      <w:r w:rsidRPr="00D52537">
        <w:rPr>
          <w:rFonts w:ascii="標楷體" w:eastAsia="標楷體" w:hAnsi="標楷體" w:cs="Calibri" w:hint="eastAsia"/>
          <w:kern w:val="0"/>
          <w:sz w:val="32"/>
          <w:szCs w:val="32"/>
          <w:lang w:val="en-GB"/>
        </w:rPr>
        <w:t>主導</w:t>
      </w:r>
      <w:r w:rsidR="00631CE1" w:rsidRPr="00D52537">
        <w:rPr>
          <w:rFonts w:ascii="標楷體" w:eastAsia="標楷體" w:hAnsi="標楷體" w:cs="Calibri" w:hint="eastAsia"/>
          <w:kern w:val="0"/>
          <w:sz w:val="32"/>
          <w:szCs w:val="32"/>
          <w:lang w:val="en-GB"/>
        </w:rPr>
        <w:t>被投資者的</w:t>
      </w:r>
      <w:proofErr w:type="gramStart"/>
      <w:r w:rsidRPr="00D52537">
        <w:rPr>
          <w:rFonts w:ascii="標楷體" w:eastAsia="標楷體" w:hAnsi="標楷體" w:cs="Calibri" w:hint="eastAsia"/>
          <w:b/>
          <w:kern w:val="0"/>
          <w:sz w:val="32"/>
          <w:szCs w:val="32"/>
          <w:lang w:val="en-GB"/>
        </w:rPr>
        <w:t>攸</w:t>
      </w:r>
      <w:proofErr w:type="gramEnd"/>
      <w:r w:rsidRPr="00D52537">
        <w:rPr>
          <w:rFonts w:ascii="標楷體" w:eastAsia="標楷體" w:hAnsi="標楷體" w:cs="Calibri" w:hint="eastAsia"/>
          <w:b/>
          <w:kern w:val="0"/>
          <w:sz w:val="32"/>
          <w:szCs w:val="32"/>
          <w:lang w:val="en-GB"/>
        </w:rPr>
        <w:t>關活動</w:t>
      </w:r>
      <w:r w:rsidRPr="00D52537">
        <w:rPr>
          <w:rFonts w:ascii="標楷體" w:eastAsia="標楷體" w:hAnsi="標楷體" w:cs="Calibri" w:hint="eastAsia"/>
          <w:kern w:val="0"/>
          <w:sz w:val="32"/>
          <w:szCs w:val="32"/>
          <w:lang w:val="en-GB"/>
        </w:rPr>
        <w:t>時，該投資者對被投資者具有</w:t>
      </w:r>
      <w:r w:rsidRPr="00D52537">
        <w:rPr>
          <w:rFonts w:ascii="標楷體" w:eastAsia="標楷體" w:hAnsi="標楷體" w:cs="Calibri" w:hint="eastAsia"/>
          <w:b/>
          <w:kern w:val="0"/>
          <w:sz w:val="32"/>
          <w:szCs w:val="32"/>
          <w:lang w:val="en-GB"/>
        </w:rPr>
        <w:t>權力</w:t>
      </w:r>
      <w:r w:rsidR="00631CE1" w:rsidRPr="00D52537">
        <w:rPr>
          <w:rFonts w:ascii="標楷體" w:eastAsia="標楷體" w:hAnsi="標楷體" w:cs="Calibri" w:hint="eastAsia"/>
          <w:b/>
          <w:kern w:val="0"/>
          <w:sz w:val="32"/>
          <w:szCs w:val="32"/>
          <w:lang w:val="en-GB"/>
        </w:rPr>
        <w:t>(power)</w:t>
      </w:r>
      <w:r w:rsidRPr="00D52537">
        <w:rPr>
          <w:rFonts w:ascii="標楷體" w:eastAsia="標楷體" w:hAnsi="標楷體" w:cs="Calibri" w:hint="eastAsia"/>
          <w:kern w:val="0"/>
          <w:sz w:val="32"/>
          <w:szCs w:val="32"/>
          <w:lang w:val="en-GB"/>
        </w:rPr>
        <w:t>。</w:t>
      </w:r>
      <w:r w:rsidRPr="00D52537">
        <w:rPr>
          <w:rFonts w:ascii="標楷體" w:eastAsia="標楷體" w:hAnsi="標楷體" w:cs="TTB7CF9C5CtCID-WinCharSetFFFF-H" w:hint="eastAsia"/>
          <w:color w:val="000000"/>
          <w:kern w:val="0"/>
          <w:sz w:val="32"/>
          <w:szCs w:val="32"/>
        </w:rPr>
        <w:t>攸關活動係指</w:t>
      </w:r>
      <w:r w:rsidRPr="00D52537">
        <w:rPr>
          <w:rFonts w:ascii="標楷體" w:eastAsia="標楷體" w:hAnsi="標楷體" w:cs="Calibri" w:hint="eastAsia"/>
          <w:kern w:val="0"/>
          <w:sz w:val="32"/>
          <w:szCs w:val="32"/>
          <w:lang w:val="en-GB"/>
        </w:rPr>
        <w:t>「</w:t>
      </w:r>
      <w:r w:rsidRPr="00D52537">
        <w:rPr>
          <w:rFonts w:ascii="標楷體" w:eastAsia="標楷體" w:hAnsi="標楷體" w:cs="TTB7CF9C5CtCID-WinCharSetFFFF-H" w:hint="eastAsia"/>
          <w:color w:val="000000"/>
          <w:kern w:val="0"/>
          <w:sz w:val="32"/>
          <w:szCs w:val="32"/>
        </w:rPr>
        <w:t>重大影響被投資者報酬</w:t>
      </w:r>
      <w:r w:rsidR="007C4BE8">
        <w:rPr>
          <w:rFonts w:ascii="標楷體" w:eastAsia="標楷體" w:hAnsi="標楷體" w:cs="TTB7CF9C5CtCID-WinCharSetFFFF-H" w:hint="eastAsia"/>
          <w:color w:val="000000"/>
          <w:kern w:val="0"/>
          <w:sz w:val="32"/>
          <w:szCs w:val="32"/>
        </w:rPr>
        <w:t>的</w:t>
      </w:r>
      <w:r w:rsidRPr="00D52537">
        <w:rPr>
          <w:rFonts w:ascii="標楷體" w:eastAsia="標楷體" w:hAnsi="標楷體" w:cs="TTB7CF9C5CtCID-WinCharSetFFFF-H" w:hint="eastAsia"/>
          <w:color w:val="000000"/>
          <w:kern w:val="0"/>
          <w:sz w:val="32"/>
          <w:szCs w:val="32"/>
        </w:rPr>
        <w:t>被投資者活動</w:t>
      </w:r>
      <w:r w:rsidRPr="00D52537">
        <w:rPr>
          <w:rFonts w:ascii="標楷體" w:eastAsia="標楷體" w:hAnsi="標楷體" w:cs="Calibri" w:hint="eastAsia"/>
          <w:kern w:val="0"/>
          <w:sz w:val="32"/>
          <w:szCs w:val="32"/>
          <w:lang w:val="en-GB"/>
        </w:rPr>
        <w:t>」</w:t>
      </w:r>
      <w:r w:rsidRPr="00D52537">
        <w:rPr>
          <w:rFonts w:ascii="標楷體" w:eastAsia="標楷體" w:hAnsi="標楷體" w:cs="TTB7CF9C5CtCID-WinCharSetFFFF-H" w:hint="eastAsia"/>
          <w:color w:val="000000"/>
          <w:kern w:val="0"/>
          <w:sz w:val="32"/>
          <w:szCs w:val="32"/>
        </w:rPr>
        <w:t>。</w:t>
      </w:r>
    </w:p>
    <w:p w:rsidR="00B162ED" w:rsidRPr="00D52537" w:rsidRDefault="006B0B76" w:rsidP="0055564D">
      <w:pPr>
        <w:widowControl/>
        <w:spacing w:before="100" w:beforeAutospacing="1" w:after="100" w:afterAutospacing="1" w:line="400" w:lineRule="exact"/>
        <w:ind w:firstLineChars="200" w:firstLine="640"/>
        <w:jc w:val="both"/>
        <w:rPr>
          <w:rFonts w:ascii="標楷體" w:eastAsia="標楷體" w:hAnsi="標楷體" w:cs="TTB7CF9C5CtCID-WinCharSetFFFF-H"/>
          <w:color w:val="000000"/>
          <w:kern w:val="0"/>
          <w:sz w:val="32"/>
          <w:szCs w:val="32"/>
        </w:rPr>
      </w:pPr>
      <w:r w:rsidRPr="00D52537">
        <w:rPr>
          <w:rFonts w:ascii="標楷體" w:eastAsia="標楷體" w:hAnsi="標楷體" w:cs="TimesNewRoman"/>
          <w:color w:val="000000"/>
          <w:kern w:val="0"/>
          <w:sz w:val="32"/>
          <w:szCs w:val="32"/>
        </w:rPr>
        <w:t>IFRS 10</w:t>
      </w:r>
      <w:r w:rsidRPr="00D52537">
        <w:rPr>
          <w:rFonts w:ascii="標楷體" w:eastAsia="標楷體" w:hAnsi="標楷體" w:cs="TimesNewRoman" w:hint="eastAsia"/>
          <w:color w:val="000000"/>
          <w:kern w:val="0"/>
          <w:sz w:val="32"/>
          <w:szCs w:val="32"/>
        </w:rPr>
        <w:t>並未提供應視為</w:t>
      </w:r>
      <w:proofErr w:type="gramStart"/>
      <w:r w:rsidRPr="00D52537">
        <w:rPr>
          <w:rFonts w:ascii="標楷體" w:eastAsia="標楷體" w:hAnsi="標楷體" w:cs="TimesNewRoman" w:hint="eastAsia"/>
          <w:color w:val="000000"/>
          <w:kern w:val="0"/>
          <w:sz w:val="32"/>
          <w:szCs w:val="32"/>
        </w:rPr>
        <w:t>攸</w:t>
      </w:r>
      <w:proofErr w:type="gramEnd"/>
      <w:r w:rsidRPr="00D52537">
        <w:rPr>
          <w:rFonts w:ascii="標楷體" w:eastAsia="標楷體" w:hAnsi="標楷體" w:cs="TimesNewRoman" w:hint="eastAsia"/>
          <w:color w:val="000000"/>
          <w:kern w:val="0"/>
          <w:sz w:val="32"/>
          <w:szCs w:val="32"/>
        </w:rPr>
        <w:t>關活動</w:t>
      </w:r>
      <w:r w:rsidR="00C11B3C" w:rsidRPr="00D52537">
        <w:rPr>
          <w:rFonts w:ascii="標楷體" w:eastAsia="標楷體" w:hAnsi="標楷體" w:cs="TimesNewRoman" w:hint="eastAsia"/>
          <w:color w:val="000000"/>
          <w:kern w:val="0"/>
          <w:sz w:val="32"/>
          <w:szCs w:val="32"/>
        </w:rPr>
        <w:t>的</w:t>
      </w:r>
      <w:r w:rsidRPr="00D52537">
        <w:rPr>
          <w:rFonts w:ascii="標楷體" w:eastAsia="標楷體" w:hAnsi="標楷體" w:cs="TimesNewRoman" w:hint="eastAsia"/>
          <w:color w:val="000000"/>
          <w:kern w:val="0"/>
          <w:sz w:val="32"/>
          <w:szCs w:val="32"/>
        </w:rPr>
        <w:t>確定清單，而係指出</w:t>
      </w:r>
      <w:r w:rsidRPr="00D52537">
        <w:rPr>
          <w:rFonts w:ascii="標楷體" w:eastAsia="標楷體" w:hAnsi="標楷體" w:cs="TTB7CF9C5CtCID-WinCharSetFFFF-H" w:hint="eastAsia"/>
          <w:color w:val="000000"/>
          <w:kern w:val="0"/>
          <w:sz w:val="32"/>
          <w:szCs w:val="32"/>
        </w:rPr>
        <w:t>對於許多被投資者，很多營運及財務活動重大影響其報酬。依</w:t>
      </w:r>
      <w:r w:rsidR="003955F2" w:rsidRPr="00D52537">
        <w:rPr>
          <w:rFonts w:ascii="標楷體" w:eastAsia="標楷體" w:hAnsi="標楷體" w:cs="TTB7CF9C5CtCID-WinCharSetFFFF-H" w:hint="eastAsia"/>
          <w:color w:val="000000"/>
          <w:kern w:val="0"/>
          <w:sz w:val="32"/>
          <w:szCs w:val="32"/>
        </w:rPr>
        <w:t>企業之</w:t>
      </w:r>
      <w:r w:rsidRPr="00D52537">
        <w:rPr>
          <w:rFonts w:ascii="標楷體" w:eastAsia="標楷體" w:hAnsi="標楷體" w:cs="TTB7CF9C5CtCID-WinCharSetFFFF-H" w:hint="eastAsia"/>
          <w:color w:val="000000"/>
          <w:kern w:val="0"/>
          <w:sz w:val="32"/>
          <w:szCs w:val="32"/>
        </w:rPr>
        <w:t>情況，可能屬</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關活動之例包括</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但不限於</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w:t>
      </w:r>
    </w:p>
    <w:p w:rsidR="006B0B76" w:rsidRPr="00D52537" w:rsidRDefault="006B0B76" w:rsidP="00D52537">
      <w:pPr>
        <w:pStyle w:val="a4"/>
        <w:numPr>
          <w:ilvl w:val="0"/>
          <w:numId w:val="3"/>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銷售及購買商品或勞務；</w:t>
      </w:r>
    </w:p>
    <w:p w:rsidR="006B0B76" w:rsidRPr="00D52537" w:rsidRDefault="006B0B76" w:rsidP="00D52537">
      <w:pPr>
        <w:pStyle w:val="a4"/>
        <w:numPr>
          <w:ilvl w:val="0"/>
          <w:numId w:val="3"/>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於金融資產存續期間內</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包括於違約時</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管理金融資產；</w:t>
      </w:r>
    </w:p>
    <w:p w:rsidR="006B0B76" w:rsidRPr="00D52537" w:rsidRDefault="006B0B76" w:rsidP="00D52537">
      <w:pPr>
        <w:pStyle w:val="a4"/>
        <w:numPr>
          <w:ilvl w:val="0"/>
          <w:numId w:val="3"/>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選擇、收購或處分資產；</w:t>
      </w:r>
    </w:p>
    <w:p w:rsidR="006B0B76" w:rsidRPr="00D52537" w:rsidRDefault="006B0B76" w:rsidP="00D52537">
      <w:pPr>
        <w:pStyle w:val="a4"/>
        <w:numPr>
          <w:ilvl w:val="0"/>
          <w:numId w:val="3"/>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研究及發展新產品或程序；及</w:t>
      </w:r>
    </w:p>
    <w:p w:rsidR="006B0B76" w:rsidRPr="00D52537" w:rsidRDefault="006B0B76" w:rsidP="00D52537">
      <w:pPr>
        <w:pStyle w:val="a4"/>
        <w:numPr>
          <w:ilvl w:val="0"/>
          <w:numId w:val="3"/>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決定注資結構或取得資金。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8362"/>
      </w:tblGrid>
      <w:tr w:rsidR="006B0B76" w:rsidRPr="00D52537" w:rsidTr="006B0B76">
        <w:tc>
          <w:tcPr>
            <w:tcW w:w="8362" w:type="dxa"/>
            <w:tcBorders>
              <w:top w:val="nil"/>
              <w:left w:val="nil"/>
              <w:bottom w:val="nil"/>
              <w:right w:val="nil"/>
            </w:tcBorders>
            <w:shd w:val="clear" w:color="auto" w:fill="D9D9D9" w:themeFill="background1" w:themeFillShade="D9"/>
            <w:hideMark/>
          </w:tcPr>
          <w:p w:rsidR="006B0B76" w:rsidRPr="00D52537" w:rsidRDefault="006B0B76" w:rsidP="00D52537">
            <w:pPr>
              <w:widowControl/>
              <w:spacing w:before="100" w:beforeAutospacing="1" w:after="100" w:afterAutospacing="1" w:line="400" w:lineRule="exact"/>
              <w:jc w:val="both"/>
              <w:rPr>
                <w:rFonts w:ascii="標楷體" w:eastAsia="標楷體" w:hAnsi="標楷體" w:cs="Calibri"/>
                <w:kern w:val="0"/>
                <w:sz w:val="32"/>
                <w:szCs w:val="32"/>
                <w:lang w:val="en-GB"/>
              </w:rPr>
            </w:pPr>
          </w:p>
        </w:tc>
      </w:tr>
    </w:tbl>
    <w:p w:rsidR="00B45846" w:rsidRPr="00D52537" w:rsidRDefault="00B45846" w:rsidP="0055564D">
      <w:pPr>
        <w:widowControl/>
        <w:spacing w:before="100" w:beforeAutospacing="1" w:after="100" w:afterAutospacing="1" w:line="400" w:lineRule="exact"/>
        <w:ind w:firstLineChars="200" w:firstLine="640"/>
        <w:jc w:val="both"/>
        <w:rPr>
          <w:rFonts w:ascii="標楷體" w:eastAsia="標楷體" w:hAnsi="標楷體" w:cs="Calibri"/>
          <w:kern w:val="0"/>
          <w:sz w:val="32"/>
          <w:szCs w:val="32"/>
        </w:rPr>
      </w:pPr>
      <w:r w:rsidRPr="00D52537">
        <w:rPr>
          <w:rFonts w:ascii="標楷體" w:eastAsia="標楷體" w:hAnsi="標楷體" w:cs="Calibri"/>
          <w:kern w:val="0"/>
          <w:sz w:val="32"/>
          <w:szCs w:val="32"/>
          <w:lang w:val="en-GB"/>
        </w:rPr>
        <w:t>當評估對被投資者之控制時，投資者首先應考量被投資者之目的及設計以辨認</w:t>
      </w:r>
      <w:proofErr w:type="gramStart"/>
      <w:r w:rsidRPr="00D52537">
        <w:rPr>
          <w:rFonts w:ascii="標楷體" w:eastAsia="標楷體" w:hAnsi="標楷體" w:cs="Calibri" w:hint="eastAsia"/>
          <w:kern w:val="0"/>
          <w:sz w:val="32"/>
          <w:szCs w:val="32"/>
          <w:lang w:val="en-GB"/>
        </w:rPr>
        <w:t>攸</w:t>
      </w:r>
      <w:proofErr w:type="gramEnd"/>
      <w:r w:rsidRPr="00D52537">
        <w:rPr>
          <w:rFonts w:ascii="標楷體" w:eastAsia="標楷體" w:hAnsi="標楷體" w:cs="Calibri" w:hint="eastAsia"/>
          <w:kern w:val="0"/>
          <w:sz w:val="32"/>
          <w:szCs w:val="32"/>
          <w:lang w:val="en-GB"/>
        </w:rPr>
        <w:t>關活動</w:t>
      </w:r>
      <w:r w:rsidRPr="00D52537">
        <w:rPr>
          <w:rFonts w:ascii="標楷體" w:eastAsia="標楷體" w:hAnsi="標楷體" w:cs="Calibri"/>
          <w:kern w:val="0"/>
          <w:sz w:val="32"/>
          <w:szCs w:val="32"/>
          <w:lang w:val="en-GB"/>
        </w:rPr>
        <w:t>、</w:t>
      </w:r>
      <w:proofErr w:type="gramStart"/>
      <w:r w:rsidRPr="00D52537">
        <w:rPr>
          <w:rFonts w:ascii="標楷體" w:eastAsia="標楷體" w:hAnsi="標楷體" w:cs="Calibri"/>
          <w:kern w:val="0"/>
          <w:sz w:val="32"/>
          <w:szCs w:val="32"/>
          <w:lang w:val="en-GB"/>
        </w:rPr>
        <w:t>攸</w:t>
      </w:r>
      <w:proofErr w:type="gramEnd"/>
      <w:r w:rsidRPr="00D52537">
        <w:rPr>
          <w:rFonts w:ascii="標楷體" w:eastAsia="標楷體" w:hAnsi="標楷體" w:cs="Calibri"/>
          <w:kern w:val="0"/>
          <w:sz w:val="32"/>
          <w:szCs w:val="32"/>
          <w:lang w:val="en-GB"/>
        </w:rPr>
        <w:t>關活動之決策如何制定、誰具有現時能力以主導該等活動，以及誰收取來自該等活動之報酬。</w:t>
      </w:r>
      <w:r w:rsidRPr="00D52537">
        <w:rPr>
          <w:rFonts w:ascii="標楷體" w:eastAsia="標楷體" w:hAnsi="標楷體" w:cs="Calibri" w:hint="eastAsia"/>
          <w:kern w:val="0"/>
          <w:sz w:val="32"/>
          <w:szCs w:val="32"/>
        </w:rPr>
        <w:t>關於被</w:t>
      </w:r>
      <w:r w:rsidR="003955F2" w:rsidRPr="00D52537">
        <w:rPr>
          <w:rFonts w:ascii="標楷體" w:eastAsia="標楷體" w:hAnsi="標楷體" w:cs="Calibri" w:hint="eastAsia"/>
          <w:kern w:val="0"/>
          <w:sz w:val="32"/>
          <w:szCs w:val="32"/>
        </w:rPr>
        <w:t>投資者之目的及設計</w:t>
      </w:r>
      <w:r w:rsidRPr="00D52537">
        <w:rPr>
          <w:rFonts w:ascii="標楷體" w:eastAsia="標楷體" w:hAnsi="標楷體" w:cs="Calibri" w:hint="eastAsia"/>
          <w:kern w:val="0"/>
          <w:sz w:val="32"/>
          <w:szCs w:val="32"/>
        </w:rPr>
        <w:t>之額外指引，請參閱1.2.4單元</w:t>
      </w:r>
      <w:r w:rsidR="003955F2" w:rsidRPr="00D52537">
        <w:rPr>
          <w:rFonts w:ascii="標楷體" w:eastAsia="標楷體" w:hAnsi="標楷體" w:cs="Calibri" w:hint="eastAsia"/>
          <w:kern w:val="0"/>
          <w:sz w:val="32"/>
          <w:szCs w:val="32"/>
        </w:rPr>
        <w:t>。</w:t>
      </w:r>
    </w:p>
    <w:p w:rsidR="00230D50" w:rsidRPr="00D52537" w:rsidRDefault="00230D50" w:rsidP="0055564D">
      <w:pPr>
        <w:widowControl/>
        <w:spacing w:before="100" w:beforeAutospacing="1" w:after="100" w:afterAutospacing="1" w:line="400" w:lineRule="exact"/>
        <w:ind w:firstLineChars="200" w:firstLine="640"/>
        <w:jc w:val="both"/>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實務上，被投資者之目的及設計之多樣化，意味「</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關活動」亦將有所差異。總而言之，必須考量所有</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關事實及情況，以進行判斷。</w:t>
      </w:r>
    </w:p>
    <w:p w:rsidR="006B0B76" w:rsidRPr="00D52537" w:rsidRDefault="006B0B76" w:rsidP="0055564D">
      <w:pPr>
        <w:widowControl/>
        <w:spacing w:before="100" w:beforeAutospacing="1" w:after="100" w:afterAutospacing="1" w:line="400" w:lineRule="exact"/>
        <w:ind w:firstLineChars="200" w:firstLine="640"/>
        <w:jc w:val="both"/>
        <w:rPr>
          <w:rFonts w:ascii="標楷體" w:eastAsia="標楷體" w:hAnsi="標楷體" w:cs="Calibri"/>
          <w:kern w:val="0"/>
          <w:sz w:val="32"/>
          <w:szCs w:val="32"/>
          <w:lang w:val="en-GB"/>
        </w:rPr>
      </w:pPr>
      <w:r w:rsidRPr="00D52537">
        <w:rPr>
          <w:rFonts w:ascii="標楷體" w:eastAsia="標楷體" w:hAnsi="標楷體" w:cs="Calibri" w:hint="eastAsia"/>
          <w:kern w:val="0"/>
          <w:sz w:val="32"/>
          <w:szCs w:val="32"/>
          <w:lang w:val="en-GB"/>
        </w:rPr>
        <w:lastRenderedPageBreak/>
        <w:t>在辨認出被投資者之</w:t>
      </w:r>
      <w:proofErr w:type="gramStart"/>
      <w:r w:rsidRPr="00D52537">
        <w:rPr>
          <w:rFonts w:ascii="標楷體" w:eastAsia="標楷體" w:hAnsi="標楷體" w:cs="Calibri" w:hint="eastAsia"/>
          <w:kern w:val="0"/>
          <w:sz w:val="32"/>
          <w:szCs w:val="32"/>
          <w:lang w:val="en-GB"/>
        </w:rPr>
        <w:t>攸</w:t>
      </w:r>
      <w:proofErr w:type="gramEnd"/>
      <w:r w:rsidRPr="00D52537">
        <w:rPr>
          <w:rFonts w:ascii="標楷體" w:eastAsia="標楷體" w:hAnsi="標楷體" w:cs="Calibri" w:hint="eastAsia"/>
          <w:kern w:val="0"/>
          <w:sz w:val="32"/>
          <w:szCs w:val="32"/>
          <w:lang w:val="en-GB"/>
        </w:rPr>
        <w:t>關活動後，要了解誰對被投資者具有權力之下一個主要步驟，係了解該等</w:t>
      </w:r>
      <w:proofErr w:type="gramStart"/>
      <w:r w:rsidRPr="00D52537">
        <w:rPr>
          <w:rFonts w:ascii="標楷體" w:eastAsia="標楷體" w:hAnsi="標楷體" w:cs="Calibri" w:hint="eastAsia"/>
          <w:kern w:val="0"/>
          <w:sz w:val="32"/>
          <w:szCs w:val="32"/>
          <w:lang w:val="en-GB"/>
        </w:rPr>
        <w:t>攸</w:t>
      </w:r>
      <w:proofErr w:type="gramEnd"/>
      <w:r w:rsidRPr="00D52537">
        <w:rPr>
          <w:rFonts w:ascii="標楷體" w:eastAsia="標楷體" w:hAnsi="標楷體" w:cs="Calibri" w:hint="eastAsia"/>
          <w:kern w:val="0"/>
          <w:sz w:val="32"/>
          <w:szCs w:val="32"/>
          <w:lang w:val="en-GB"/>
        </w:rPr>
        <w:t>關活動之決策機制。</w:t>
      </w:r>
      <w:proofErr w:type="gramStart"/>
      <w:r w:rsidRPr="00D52537">
        <w:rPr>
          <w:rFonts w:ascii="標楷體" w:eastAsia="標楷體" w:hAnsi="標楷體" w:cs="Calibri" w:hint="eastAsia"/>
          <w:kern w:val="0"/>
          <w:sz w:val="32"/>
          <w:szCs w:val="32"/>
          <w:lang w:val="en-GB"/>
        </w:rPr>
        <w:t>攸</w:t>
      </w:r>
      <w:proofErr w:type="gramEnd"/>
      <w:r w:rsidRPr="00D52537">
        <w:rPr>
          <w:rFonts w:ascii="標楷體" w:eastAsia="標楷體" w:hAnsi="標楷體" w:cs="Calibri" w:hint="eastAsia"/>
          <w:kern w:val="0"/>
          <w:sz w:val="32"/>
          <w:szCs w:val="32"/>
          <w:lang w:val="en-GB"/>
        </w:rPr>
        <w:t>關活動之決策之例包括</w:t>
      </w:r>
      <w:r w:rsidRPr="00D52537">
        <w:rPr>
          <w:rFonts w:ascii="標楷體" w:eastAsia="標楷體" w:hAnsi="標楷體" w:cs="Calibri"/>
          <w:kern w:val="0"/>
          <w:sz w:val="32"/>
          <w:szCs w:val="32"/>
          <w:lang w:val="en-GB"/>
        </w:rPr>
        <w:t>(</w:t>
      </w:r>
      <w:r w:rsidRPr="00D52537">
        <w:rPr>
          <w:rFonts w:ascii="標楷體" w:eastAsia="標楷體" w:hAnsi="標楷體" w:cs="Calibri" w:hint="eastAsia"/>
          <w:kern w:val="0"/>
          <w:sz w:val="32"/>
          <w:szCs w:val="32"/>
          <w:lang w:val="en-GB"/>
        </w:rPr>
        <w:t>但不限於</w:t>
      </w:r>
      <w:r w:rsidRPr="00D52537">
        <w:rPr>
          <w:rFonts w:ascii="標楷體" w:eastAsia="標楷體" w:hAnsi="標楷體" w:cs="Calibri"/>
          <w:kern w:val="0"/>
          <w:sz w:val="32"/>
          <w:szCs w:val="32"/>
          <w:lang w:val="en-GB"/>
        </w:rPr>
        <w:t>)</w:t>
      </w:r>
      <w:r w:rsidRPr="00D52537">
        <w:rPr>
          <w:rFonts w:ascii="標楷體" w:eastAsia="標楷體" w:hAnsi="標楷體" w:cs="Calibri" w:hint="eastAsia"/>
          <w:kern w:val="0"/>
          <w:sz w:val="32"/>
          <w:szCs w:val="32"/>
          <w:lang w:val="en-GB"/>
        </w:rPr>
        <w:t>：</w:t>
      </w:r>
    </w:p>
    <w:p w:rsidR="006B0B76" w:rsidRPr="00D52537" w:rsidRDefault="006B0B76" w:rsidP="00D52537">
      <w:pPr>
        <w:pStyle w:val="a4"/>
        <w:widowControl/>
        <w:numPr>
          <w:ilvl w:val="0"/>
          <w:numId w:val="4"/>
        </w:numPr>
        <w:spacing w:line="400" w:lineRule="exact"/>
        <w:ind w:leftChars="0"/>
        <w:jc w:val="both"/>
        <w:rPr>
          <w:rFonts w:ascii="標楷體" w:eastAsia="標楷體" w:hAnsi="標楷體" w:cs="Calibri"/>
          <w:kern w:val="0"/>
          <w:sz w:val="32"/>
          <w:szCs w:val="32"/>
          <w:lang w:val="en-GB"/>
        </w:rPr>
      </w:pPr>
      <w:r w:rsidRPr="00D52537">
        <w:rPr>
          <w:rFonts w:ascii="標楷體" w:eastAsia="標楷體" w:hAnsi="標楷體" w:cs="Calibri" w:hint="eastAsia"/>
          <w:kern w:val="0"/>
          <w:sz w:val="32"/>
          <w:szCs w:val="32"/>
          <w:lang w:val="en-GB"/>
        </w:rPr>
        <w:t>建立被投資者之營運及資本決策，包括預算；及</w:t>
      </w:r>
    </w:p>
    <w:p w:rsidR="00230D50" w:rsidRPr="00D52537" w:rsidRDefault="006B0B76" w:rsidP="00D52537">
      <w:pPr>
        <w:pStyle w:val="a4"/>
        <w:widowControl/>
        <w:numPr>
          <w:ilvl w:val="0"/>
          <w:numId w:val="4"/>
        </w:numPr>
        <w:spacing w:line="400" w:lineRule="exact"/>
        <w:ind w:leftChars="0"/>
        <w:jc w:val="both"/>
        <w:rPr>
          <w:rFonts w:ascii="標楷體" w:eastAsia="標楷體" w:hAnsi="標楷體" w:cs="TTB7CF9C5CtCID-WinCharSetFFFF-H"/>
          <w:color w:val="000000"/>
          <w:kern w:val="0"/>
          <w:sz w:val="32"/>
          <w:szCs w:val="32"/>
        </w:rPr>
      </w:pPr>
      <w:r w:rsidRPr="00D52537">
        <w:rPr>
          <w:rFonts w:ascii="標楷體" w:eastAsia="標楷體" w:hAnsi="標楷體" w:cs="Calibri" w:hint="eastAsia"/>
          <w:kern w:val="0"/>
          <w:sz w:val="32"/>
          <w:szCs w:val="32"/>
          <w:lang w:val="en-GB"/>
        </w:rPr>
        <w:t>指派及酬勞被投資者之主要管理人員或服務提供者，及終止其聘僱或服務。</w:t>
      </w:r>
    </w:p>
    <w:p w:rsidR="006B0B76" w:rsidRPr="00D52537" w:rsidRDefault="006B0B76"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若兩個以上投資者各自具有賦予其片面能力</w:t>
      </w:r>
      <w:r w:rsidRPr="00D52537">
        <w:rPr>
          <w:rFonts w:ascii="標楷體" w:eastAsia="標楷體" w:hAnsi="標楷體" w:cs="TTB7CF9C5CtCID-WinCharSetFFFF-H"/>
          <w:color w:val="000000"/>
          <w:kern w:val="0"/>
          <w:sz w:val="32"/>
          <w:szCs w:val="32"/>
        </w:rPr>
        <w:t>(unilateral ability)</w:t>
      </w:r>
      <w:r w:rsidRPr="00D52537">
        <w:rPr>
          <w:rFonts w:ascii="標楷體" w:eastAsia="標楷體" w:hAnsi="標楷體" w:cs="TTB7CF9C5CtCID-WinCharSetFFFF-H" w:hint="eastAsia"/>
          <w:color w:val="000000"/>
          <w:kern w:val="0"/>
          <w:sz w:val="32"/>
          <w:szCs w:val="32"/>
        </w:rPr>
        <w:t>以主導被投資者不同</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關活動之既存權利，具有現時能力以主導</w:t>
      </w:r>
      <w:r w:rsidRPr="00D52537">
        <w:rPr>
          <w:rFonts w:ascii="標楷體" w:eastAsia="標楷體" w:hAnsi="標楷體" w:cs="TTB7CF9C5CtCID-WinCharSetFFFF-H" w:hint="eastAsia"/>
          <w:i/>
          <w:color w:val="000000"/>
          <w:kern w:val="0"/>
          <w:sz w:val="32"/>
          <w:szCs w:val="32"/>
        </w:rPr>
        <w:t>最</w:t>
      </w:r>
      <w:r w:rsidRPr="00D52537">
        <w:rPr>
          <w:rFonts w:ascii="標楷體" w:eastAsia="標楷體" w:hAnsi="標楷體" w:cs="TTB7CF9C5CtCID-WinCharSetFFFF-H" w:hint="eastAsia"/>
          <w:color w:val="000000"/>
          <w:kern w:val="0"/>
          <w:sz w:val="32"/>
          <w:szCs w:val="32"/>
        </w:rPr>
        <w:t>重大影響被投資者報酬之活動之投資者，對被投資者具有權力。</w:t>
      </w:r>
    </w:p>
    <w:p w:rsidR="00AF549A" w:rsidRPr="00D52537" w:rsidRDefault="006B0B76"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在某些情況下，特定之一組情況產生或事項發生前後之活動可能均屬</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關活動。當兩個以上投資者具有現時能力以主導</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關活動，且該等活動發生於不同時點，投資者應決定哪一投資者能夠主導與同步決策權之處理一致之最能重大影響該等報酬之活動。</w:t>
      </w:r>
      <w:r w:rsidRPr="00D52537">
        <w:rPr>
          <w:rFonts w:ascii="標楷體" w:eastAsia="標楷體" w:hAnsi="標楷體" w:cs="TTB7CF9C5CtCID-WinCharSetFFFF-H"/>
          <w:color w:val="000000"/>
          <w:kern w:val="0"/>
          <w:sz w:val="32"/>
          <w:szCs w:val="32"/>
        </w:rPr>
        <w:t>IFRS 10</w:t>
      </w:r>
      <w:r w:rsidRPr="00D52537">
        <w:rPr>
          <w:rFonts w:ascii="標楷體" w:eastAsia="標楷體" w:hAnsi="標楷體" w:cs="TTB7CF9C5CtCID-WinCharSetFFFF-H" w:hint="eastAsia"/>
          <w:color w:val="000000"/>
          <w:kern w:val="0"/>
          <w:sz w:val="32"/>
          <w:szCs w:val="32"/>
        </w:rPr>
        <w:t>規定，隨時間經過，若</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關事實或情況變動，投資者應重新考量此評估。</w:t>
      </w:r>
    </w:p>
    <w:p w:rsidR="003163C6" w:rsidRPr="00684CDC" w:rsidRDefault="003163C6" w:rsidP="00D52537">
      <w:pPr>
        <w:pStyle w:val="a4"/>
        <w:numPr>
          <w:ilvl w:val="0"/>
          <w:numId w:val="30"/>
        </w:numPr>
        <w:autoSpaceDE w:val="0"/>
        <w:autoSpaceDN w:val="0"/>
        <w:adjustRightInd w:val="0"/>
        <w:spacing w:before="100" w:beforeAutospacing="1" w:line="400" w:lineRule="exact"/>
        <w:ind w:leftChars="0" w:left="644" w:hangingChars="201" w:hanging="644"/>
        <w:rPr>
          <w:rFonts w:eastAsia="標楷體" w:cs="TTB7CF9C5CtCID-WinCharSetFFFF-H"/>
          <w:b/>
          <w:color w:val="000000"/>
          <w:kern w:val="0"/>
          <w:sz w:val="22"/>
        </w:rPr>
      </w:pPr>
      <w:proofErr w:type="gramStart"/>
      <w:r w:rsidRPr="00D52537">
        <w:rPr>
          <w:rFonts w:ascii="標楷體" w:eastAsia="標楷體" w:hAnsi="標楷體" w:cs="TTB7CF9C5CtCID-WinCharSetFFFF-H" w:hint="eastAsia"/>
          <w:b/>
          <w:color w:val="000000"/>
          <w:kern w:val="0"/>
          <w:sz w:val="32"/>
          <w:szCs w:val="32"/>
        </w:rPr>
        <w:t>釋例</w:t>
      </w:r>
      <w:proofErr w:type="gramEnd"/>
      <w:r w:rsidR="00DA1DF5" w:rsidRPr="00D52537">
        <w:rPr>
          <w:rFonts w:ascii="標楷體" w:eastAsia="標楷體" w:hAnsi="標楷體" w:cs="TTB7CF9C5CtCID-WinCharSetFFFF-H" w:hint="eastAsia"/>
          <w:b/>
          <w:color w:val="000000"/>
          <w:kern w:val="0"/>
          <w:sz w:val="32"/>
          <w:szCs w:val="32"/>
        </w:rPr>
        <w:t>：</w:t>
      </w:r>
      <w:proofErr w:type="gramStart"/>
      <w:r w:rsidR="00DA1DF5" w:rsidRPr="00D52537">
        <w:rPr>
          <w:rFonts w:ascii="標楷體" w:eastAsia="標楷體" w:hAnsi="標楷體" w:cs="TTB7CF9C5CtCID-WinCharSetFFFF-H" w:hint="eastAsia"/>
          <w:b/>
          <w:color w:val="000000"/>
          <w:kern w:val="0"/>
          <w:sz w:val="32"/>
          <w:szCs w:val="32"/>
        </w:rPr>
        <w:t>攸</w:t>
      </w:r>
      <w:proofErr w:type="gramEnd"/>
      <w:r w:rsidR="00DA1DF5" w:rsidRPr="00D52537">
        <w:rPr>
          <w:rFonts w:ascii="標楷體" w:eastAsia="標楷體" w:hAnsi="標楷體" w:cs="TTB7CF9C5CtCID-WinCharSetFFFF-H" w:hint="eastAsia"/>
          <w:b/>
          <w:color w:val="000000"/>
          <w:kern w:val="0"/>
          <w:sz w:val="32"/>
          <w:szCs w:val="32"/>
        </w:rPr>
        <w:t>關活動</w:t>
      </w:r>
    </w:p>
    <w:p w:rsidR="003163C6" w:rsidRDefault="00DB2700" w:rsidP="00D52537">
      <w:pPr>
        <w:autoSpaceDE w:val="0"/>
        <w:autoSpaceDN w:val="0"/>
        <w:adjustRightInd w:val="0"/>
        <w:spacing w:before="100" w:beforeAutospacing="1" w:after="100" w:afterAutospacing="1"/>
        <w:rPr>
          <w:rFonts w:eastAsia="標楷體" w:cs="Calibri"/>
          <w:kern w:val="0"/>
          <w:sz w:val="22"/>
          <w:lang w:val="en-GB"/>
        </w:rPr>
      </w:pPr>
      <w:r>
        <w:rPr>
          <w:noProof/>
        </w:rPr>
        <w:drawing>
          <wp:inline distT="0" distB="0" distL="0" distR="0">
            <wp:extent cx="5036937" cy="3435331"/>
            <wp:effectExtent l="19050" t="19050" r="11313" b="12719"/>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36937" cy="3435331"/>
                    </a:xfrm>
                    <a:prstGeom prst="rect">
                      <a:avLst/>
                    </a:prstGeom>
                    <a:ln>
                      <a:solidFill>
                        <a:schemeClr val="accent1"/>
                      </a:solidFill>
                    </a:ln>
                  </pic:spPr>
                </pic:pic>
              </a:graphicData>
            </a:graphic>
          </wp:inline>
        </w:drawing>
      </w:r>
    </w:p>
    <w:p w:rsidR="006B0B76" w:rsidRPr="00D52537" w:rsidRDefault="00AF549A" w:rsidP="00D52537">
      <w:pPr>
        <w:pStyle w:val="abgheadb"/>
        <w:spacing w:before="100" w:beforeAutospacing="1" w:after="100" w:afterAutospacing="1"/>
        <w:jc w:val="both"/>
        <w:rPr>
          <w:rFonts w:asciiTheme="minorHAnsi" w:eastAsia="標楷體" w:hAnsiTheme="minorHAnsi" w:cs="Calibri"/>
          <w:szCs w:val="32"/>
          <w:lang w:eastAsia="zh-TW"/>
        </w:rPr>
      </w:pPr>
      <w:r w:rsidRPr="00D52537">
        <w:rPr>
          <w:rFonts w:asciiTheme="minorHAnsi" w:eastAsia="標楷體" w:hAnsiTheme="minorHAnsi" w:cs="Calibri" w:hint="eastAsia"/>
          <w:szCs w:val="32"/>
          <w:lang w:eastAsia="zh-TW"/>
        </w:rPr>
        <w:lastRenderedPageBreak/>
        <w:t>1.2</w:t>
      </w:r>
      <w:r w:rsidR="006B0B76" w:rsidRPr="00D52537">
        <w:rPr>
          <w:rFonts w:asciiTheme="minorHAnsi" w:eastAsia="標楷體" w:hAnsiTheme="minorHAnsi" w:cs="Calibri" w:hint="eastAsia"/>
          <w:szCs w:val="32"/>
          <w:lang w:eastAsia="zh-TW"/>
        </w:rPr>
        <w:t>投資者之權利</w:t>
      </w:r>
    </w:p>
    <w:p w:rsidR="006B0B76" w:rsidRPr="00D52537" w:rsidRDefault="00AF549A" w:rsidP="00D52537">
      <w:pPr>
        <w:pStyle w:val="abgheadb"/>
        <w:spacing w:before="100" w:beforeAutospacing="1" w:after="100" w:afterAutospacing="1"/>
        <w:jc w:val="both"/>
        <w:rPr>
          <w:rFonts w:asciiTheme="minorHAnsi" w:eastAsia="標楷體" w:hAnsiTheme="minorHAnsi" w:cs="Calibri"/>
          <w:szCs w:val="32"/>
          <w:lang w:eastAsia="zh-TW"/>
        </w:rPr>
      </w:pPr>
      <w:r w:rsidRPr="00D52537">
        <w:rPr>
          <w:rFonts w:asciiTheme="minorHAnsi" w:eastAsia="標楷體" w:hAnsiTheme="minorHAnsi" w:cs="Calibri" w:hint="eastAsia"/>
          <w:szCs w:val="32"/>
          <w:lang w:eastAsia="zh-TW"/>
        </w:rPr>
        <w:t>1.2.1</w:t>
      </w:r>
      <w:r w:rsidR="006B0B76" w:rsidRPr="00D52537">
        <w:rPr>
          <w:rFonts w:asciiTheme="minorHAnsi" w:eastAsia="標楷體" w:hAnsiTheme="minorHAnsi" w:cs="Calibri"/>
          <w:szCs w:val="32"/>
          <w:lang w:eastAsia="zh-TW"/>
        </w:rPr>
        <w:t xml:space="preserve"> </w:t>
      </w:r>
      <w:r w:rsidR="006B0B76" w:rsidRPr="00D52537">
        <w:rPr>
          <w:rFonts w:asciiTheme="minorHAnsi" w:eastAsia="標楷體" w:hAnsiTheme="minorHAnsi" w:cs="Calibri" w:hint="eastAsia"/>
          <w:szCs w:val="32"/>
          <w:lang w:eastAsia="zh-TW"/>
        </w:rPr>
        <w:t>聚焦於「主導之能力」而非實際行使權力</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權力</w:t>
      </w:r>
      <w:r w:rsidR="00AA3CAA" w:rsidRPr="00D52537">
        <w:rPr>
          <w:rFonts w:eastAsia="標楷體" w:cs="TTB7CF9C5CtCID-WinCharSetFFFF-H" w:hint="eastAsia"/>
          <w:color w:val="000000"/>
          <w:kern w:val="0"/>
          <w:sz w:val="32"/>
          <w:szCs w:val="32"/>
        </w:rPr>
        <w:t>(power)</w:t>
      </w:r>
      <w:r w:rsidRPr="00D52537">
        <w:rPr>
          <w:rFonts w:eastAsia="標楷體" w:cs="TTB7CF9C5CtCID-WinCharSetFFFF-H" w:hint="eastAsia"/>
          <w:color w:val="000000"/>
          <w:kern w:val="0"/>
          <w:sz w:val="32"/>
          <w:szCs w:val="32"/>
        </w:rPr>
        <w:t>來自於權利</w:t>
      </w:r>
      <w:r w:rsidR="00AA3CAA" w:rsidRPr="00D52537">
        <w:rPr>
          <w:rFonts w:eastAsia="標楷體" w:cs="TTB7CF9C5CtCID-WinCharSetFFFF-H" w:hint="eastAsia"/>
          <w:color w:val="000000"/>
          <w:kern w:val="0"/>
          <w:sz w:val="32"/>
          <w:szCs w:val="32"/>
        </w:rPr>
        <w:t>(right)</w:t>
      </w:r>
      <w:r w:rsidRPr="00D52537">
        <w:rPr>
          <w:rFonts w:eastAsia="標楷體" w:cs="TTB7CF9C5CtCID-WinCharSetFFFF-H" w:hint="eastAsia"/>
          <w:color w:val="000000"/>
          <w:kern w:val="0"/>
          <w:sz w:val="32"/>
          <w:szCs w:val="32"/>
        </w:rPr>
        <w:t>。為對被投資者具有權力，投資者須具有賦予投資者現時能力以主導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關活動之既存權利。據此，權力之評估是基於投資者主導被投資者</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w:t>
      </w:r>
      <w:r w:rsidRPr="00D52537">
        <w:rPr>
          <w:rFonts w:eastAsia="標楷體" w:cs="TTB7CF9C5CtCID-WinCharSetFFFF-H" w:hint="eastAsia"/>
          <w:i/>
          <w:color w:val="000000"/>
          <w:kern w:val="0"/>
          <w:sz w:val="32"/>
          <w:szCs w:val="32"/>
        </w:rPr>
        <w:t>能力</w:t>
      </w:r>
      <w:r w:rsidRPr="00D52537">
        <w:rPr>
          <w:rFonts w:eastAsia="標楷體" w:cs="TTB7CF9C5CtCID-WinCharSetFFFF-H" w:hint="eastAsia"/>
          <w:color w:val="000000"/>
          <w:kern w:val="0"/>
          <w:sz w:val="32"/>
          <w:szCs w:val="32"/>
        </w:rPr>
        <w:t>；尤其是，</w:t>
      </w:r>
      <w:r w:rsidRPr="00D52537">
        <w:rPr>
          <w:rFonts w:eastAsia="標楷體" w:cs="TTB7CF9C5CtCID-WinCharSetFFFF-H"/>
          <w:color w:val="000000"/>
          <w:kern w:val="0"/>
          <w:sz w:val="32"/>
          <w:szCs w:val="32"/>
        </w:rPr>
        <w:t>IFRS 10</w:t>
      </w:r>
      <w:r w:rsidRPr="00D52537">
        <w:rPr>
          <w:rFonts w:eastAsia="標楷體" w:cs="TTB7CF9C5CtCID-WinCharSetFFFF-H" w:hint="eastAsia"/>
          <w:color w:val="000000"/>
          <w:kern w:val="0"/>
          <w:sz w:val="32"/>
          <w:szCs w:val="32"/>
        </w:rPr>
        <w:t>並未規定投資者實際上行使此權力。</w:t>
      </w:r>
      <w:r w:rsidRPr="00D52537">
        <w:rPr>
          <w:rFonts w:eastAsia="標楷體" w:hAnsi="標楷體" w:cs="TTB7CF9C5CtCID-WinCharSetFFFF-H" w:hint="eastAsia"/>
          <w:color w:val="000000"/>
          <w:kern w:val="0"/>
          <w:sz w:val="32"/>
          <w:szCs w:val="32"/>
        </w:rPr>
        <w:t>具有現時能力以主導</w:t>
      </w:r>
      <w:proofErr w:type="gramStart"/>
      <w:r w:rsidRPr="00D52537">
        <w:rPr>
          <w:rFonts w:eastAsia="標楷體" w:hAnsi="標楷體" w:cs="TTB7CF9C5CtCID-WinCharSetFFFF-H" w:hint="eastAsia"/>
          <w:color w:val="000000"/>
          <w:kern w:val="0"/>
          <w:sz w:val="32"/>
          <w:szCs w:val="32"/>
        </w:rPr>
        <w:t>攸</w:t>
      </w:r>
      <w:proofErr w:type="gramEnd"/>
      <w:r w:rsidRPr="00D52537">
        <w:rPr>
          <w:rFonts w:eastAsia="標楷體" w:hAnsi="標楷體" w:cs="TTB7CF9C5CtCID-WinCharSetFFFF-H" w:hint="eastAsia"/>
          <w:color w:val="000000"/>
          <w:kern w:val="0"/>
          <w:sz w:val="32"/>
          <w:szCs w:val="32"/>
        </w:rPr>
        <w:t>關活動之投資者具有權力，即使其主導權利尚未行使。</w:t>
      </w:r>
      <w:r w:rsidRPr="00D52537">
        <w:rPr>
          <w:rFonts w:eastAsia="標楷體" w:cs="TTB7CF9C5CtCID-WinCharSetFFFF-H" w:hint="eastAsia"/>
          <w:color w:val="000000"/>
          <w:kern w:val="0"/>
          <w:sz w:val="32"/>
          <w:szCs w:val="32"/>
        </w:rPr>
        <w:t>相反的，投資者一直在主導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關活動之證據有助於決定投資者是否具有權力，但對於判定投資者是否對被投資者具有權力，此證據本身未必具決定性。</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投資者對被投資者可具有權力，即使其他個體具有賦予其現時能力以參與主導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關活動之既存權利</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例如當另一個體具有重大影響時</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w:t>
      </w:r>
    </w:p>
    <w:p w:rsidR="006B0B76" w:rsidRPr="00D52537" w:rsidRDefault="00230D50" w:rsidP="00D52537">
      <w:pPr>
        <w:pStyle w:val="abgheadb"/>
        <w:spacing w:before="100" w:beforeAutospacing="1" w:after="100" w:afterAutospacing="1" w:line="400" w:lineRule="exact"/>
        <w:jc w:val="both"/>
        <w:rPr>
          <w:rFonts w:asciiTheme="minorHAnsi" w:eastAsia="標楷體" w:hAnsiTheme="minorHAnsi" w:cs="Calibri"/>
          <w:szCs w:val="32"/>
          <w:lang w:eastAsia="zh-TW"/>
        </w:rPr>
      </w:pPr>
      <w:r w:rsidRPr="00D52537">
        <w:rPr>
          <w:rFonts w:asciiTheme="minorHAnsi" w:eastAsia="標楷體" w:hAnsiTheme="minorHAnsi" w:cs="Calibri" w:hint="eastAsia"/>
          <w:szCs w:val="32"/>
          <w:lang w:eastAsia="zh-TW"/>
        </w:rPr>
        <w:t>1</w:t>
      </w:r>
      <w:r w:rsidR="006B0B76" w:rsidRPr="00D52537">
        <w:rPr>
          <w:rFonts w:asciiTheme="minorHAnsi" w:eastAsia="標楷體" w:hAnsiTheme="minorHAnsi" w:cs="Calibri"/>
          <w:szCs w:val="32"/>
          <w:lang w:eastAsia="zh-TW"/>
        </w:rPr>
        <w:t>.2</w:t>
      </w:r>
      <w:r w:rsidRPr="00D52537">
        <w:rPr>
          <w:rFonts w:asciiTheme="minorHAnsi" w:eastAsia="標楷體" w:hAnsiTheme="minorHAnsi" w:cs="Calibri" w:hint="eastAsia"/>
          <w:szCs w:val="32"/>
          <w:lang w:eastAsia="zh-TW"/>
        </w:rPr>
        <w:t>.2</w:t>
      </w:r>
      <w:r w:rsidR="006B0B76" w:rsidRPr="00D52537">
        <w:rPr>
          <w:rFonts w:asciiTheme="minorHAnsi" w:eastAsia="標楷體" w:hAnsiTheme="minorHAnsi" w:cs="Calibri"/>
          <w:szCs w:val="32"/>
          <w:lang w:eastAsia="zh-TW"/>
        </w:rPr>
        <w:t xml:space="preserve"> </w:t>
      </w:r>
      <w:r w:rsidR="006B0B76" w:rsidRPr="00D52537">
        <w:rPr>
          <w:rFonts w:asciiTheme="minorHAnsi" w:eastAsia="標楷體" w:hAnsiTheme="minorHAnsi" w:cs="Calibri" w:hint="eastAsia"/>
          <w:szCs w:val="32"/>
          <w:lang w:eastAsia="zh-TW"/>
        </w:rPr>
        <w:t>賦予投資者對被投資者權力之權利</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可能賦予投資者權力之權利可因被投資者而有所不同。不同類型之權利</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不論個別或相互結合</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其能賦予投資者權力之例包括</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但不限於</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w:t>
      </w:r>
    </w:p>
    <w:p w:rsidR="006B0B76" w:rsidRPr="00D52537" w:rsidRDefault="006B0B76" w:rsidP="00D52537">
      <w:pPr>
        <w:pStyle w:val="a4"/>
        <w:numPr>
          <w:ilvl w:val="0"/>
          <w:numId w:val="5"/>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以被投資者表決權</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或潛在表決權</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之形式之權利</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參閱</w:t>
      </w:r>
      <w:r w:rsidR="003061BF" w:rsidRPr="00D52537">
        <w:rPr>
          <w:rFonts w:eastAsia="標楷體" w:cs="TTB7CF9C5CtCID-WinCharSetFFFF-H" w:hint="eastAsia"/>
          <w:color w:val="000000"/>
          <w:kern w:val="0"/>
          <w:sz w:val="32"/>
          <w:szCs w:val="32"/>
        </w:rPr>
        <w:t>1.2.3</w:t>
      </w:r>
      <w:r w:rsidRPr="00D52537">
        <w:rPr>
          <w:rFonts w:eastAsia="標楷體" w:cs="TTB7CF9C5CtCID-WinCharSetFFFF-H" w:hint="eastAsia"/>
          <w:color w:val="000000"/>
          <w:kern w:val="0"/>
          <w:sz w:val="32"/>
          <w:szCs w:val="32"/>
        </w:rPr>
        <w:t>單元</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w:t>
      </w:r>
    </w:p>
    <w:p w:rsidR="006B0B76" w:rsidRPr="00D52537" w:rsidRDefault="006B0B76" w:rsidP="00D52537">
      <w:pPr>
        <w:pStyle w:val="a4"/>
        <w:numPr>
          <w:ilvl w:val="0"/>
          <w:numId w:val="5"/>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任命、重新指派或罷黜被投資者具有能力以主導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關活動之主要管理人員成員之權利；</w:t>
      </w:r>
    </w:p>
    <w:p w:rsidR="006B0B76" w:rsidRPr="00D52537" w:rsidRDefault="006B0B76" w:rsidP="00D52537">
      <w:pPr>
        <w:pStyle w:val="a4"/>
        <w:numPr>
          <w:ilvl w:val="0"/>
          <w:numId w:val="5"/>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任命或罷黜主導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關活動之另一個體之權利；</w:t>
      </w:r>
    </w:p>
    <w:p w:rsidR="006B0B76" w:rsidRPr="00D52537" w:rsidRDefault="006B0B76" w:rsidP="00D52537">
      <w:pPr>
        <w:pStyle w:val="a4"/>
        <w:numPr>
          <w:ilvl w:val="0"/>
          <w:numId w:val="5"/>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主導被投資者為投資者之利益進行交易或否決對交易之任何變動之權利；及</w:t>
      </w:r>
    </w:p>
    <w:p w:rsidR="006B0B76" w:rsidRPr="00D52537" w:rsidRDefault="006B0B76" w:rsidP="00D52537">
      <w:pPr>
        <w:pStyle w:val="a4"/>
        <w:numPr>
          <w:ilvl w:val="0"/>
          <w:numId w:val="5"/>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賦予持有者能力以主導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關活動之其他權利</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例如明定於管理合約之決策權</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Calibri"/>
          <w:kern w:val="0"/>
          <w:sz w:val="32"/>
          <w:szCs w:val="32"/>
        </w:rPr>
      </w:pPr>
      <w:r w:rsidRPr="00D52537">
        <w:rPr>
          <w:rFonts w:eastAsia="標楷體" w:cs="TTB7CF9C5CtCID-WinCharSetFFFF-H" w:hint="eastAsia"/>
          <w:color w:val="000000"/>
          <w:kern w:val="0"/>
          <w:sz w:val="32"/>
          <w:szCs w:val="32"/>
        </w:rPr>
        <w:t>當表決權或類似權利對被投資者之報酬無重大影響時，應適用之具體因素，於</w:t>
      </w:r>
      <w:r w:rsidR="003061BF" w:rsidRPr="00D52537">
        <w:rPr>
          <w:rFonts w:eastAsia="標楷體" w:cs="TTB7CF9C5CtCID-WinCharSetFFFF-H" w:hint="eastAsia"/>
          <w:color w:val="000000"/>
          <w:kern w:val="0"/>
          <w:sz w:val="32"/>
          <w:szCs w:val="32"/>
        </w:rPr>
        <w:t>1.2.4</w:t>
      </w:r>
      <w:r w:rsidRPr="00D52537">
        <w:rPr>
          <w:rFonts w:eastAsia="標楷體" w:cs="TTB7CF9C5CtCID-WinCharSetFFFF-H" w:hint="eastAsia"/>
          <w:color w:val="000000"/>
          <w:kern w:val="0"/>
          <w:sz w:val="32"/>
          <w:szCs w:val="32"/>
        </w:rPr>
        <w:t>單元討論。</w:t>
      </w:r>
    </w:p>
    <w:p w:rsidR="002C2A2C" w:rsidRPr="00764F27" w:rsidRDefault="006B0B76" w:rsidP="00764F27">
      <w:pPr>
        <w:pStyle w:val="abgheadb"/>
        <w:spacing w:before="100" w:beforeAutospacing="1" w:after="100" w:afterAutospacing="1" w:line="400" w:lineRule="exact"/>
        <w:ind w:firstLineChars="200" w:firstLine="640"/>
        <w:jc w:val="both"/>
        <w:rPr>
          <w:rFonts w:eastAsia="標楷體" w:cs="TTB7CF9C5CtCID-WinCharSetFFFF-H"/>
          <w:b w:val="0"/>
          <w:color w:val="000000"/>
          <w:szCs w:val="32"/>
          <w:lang w:eastAsia="zh-TW"/>
        </w:rPr>
      </w:pPr>
      <w:r w:rsidRPr="00764F27">
        <w:rPr>
          <w:rFonts w:eastAsia="標楷體" w:cs="TTB7CF9C5CtCID-WinCharSetFFFF-H" w:hint="eastAsia"/>
          <w:b w:val="0"/>
          <w:color w:val="000000"/>
          <w:szCs w:val="32"/>
          <w:lang w:eastAsia="zh-TW"/>
        </w:rPr>
        <w:lastRenderedPageBreak/>
        <w:t>當難以判定投資者之權利是否足以賦予其對被投資者之權力時，為能執行對權力之評估，投資者應考量其是否具有實際能力以片面主導</w:t>
      </w:r>
      <w:proofErr w:type="gramStart"/>
      <w:r w:rsidRPr="00764F27">
        <w:rPr>
          <w:rFonts w:eastAsia="標楷體" w:cs="TTB7CF9C5CtCID-WinCharSetFFFF-H" w:hint="eastAsia"/>
          <w:b w:val="0"/>
          <w:color w:val="000000"/>
          <w:szCs w:val="32"/>
          <w:lang w:eastAsia="zh-TW"/>
        </w:rPr>
        <w:t>攸</w:t>
      </w:r>
      <w:proofErr w:type="gramEnd"/>
      <w:r w:rsidRPr="00764F27">
        <w:rPr>
          <w:rFonts w:eastAsia="標楷體" w:cs="TTB7CF9C5CtCID-WinCharSetFFFF-H" w:hint="eastAsia"/>
          <w:b w:val="0"/>
          <w:color w:val="000000"/>
          <w:szCs w:val="32"/>
          <w:lang w:eastAsia="zh-TW"/>
        </w:rPr>
        <w:t>關活動之證據。</w:t>
      </w:r>
      <w:r w:rsidR="004C24E2" w:rsidRPr="00764F27">
        <w:rPr>
          <w:rFonts w:eastAsia="標楷體" w:cs="TTB7CF9C5CtCID-WinCharSetFFFF-H" w:hint="eastAsia"/>
          <w:b w:val="0"/>
          <w:color w:val="000000"/>
          <w:szCs w:val="32"/>
          <w:lang w:eastAsia="zh-TW"/>
        </w:rPr>
        <w:t>IFRS 10:B18~B20</w:t>
      </w:r>
      <w:r w:rsidR="004C24E2" w:rsidRPr="00764F27">
        <w:rPr>
          <w:rFonts w:eastAsia="標楷體" w:cs="TTB7CF9C5CtCID-WinCharSetFFFF-H" w:hint="eastAsia"/>
          <w:b w:val="0"/>
          <w:color w:val="000000"/>
          <w:szCs w:val="32"/>
          <w:lang w:eastAsia="zh-TW"/>
        </w:rPr>
        <w:t>列有</w:t>
      </w:r>
      <w:r w:rsidR="00E46976" w:rsidRPr="00764F27">
        <w:rPr>
          <w:rFonts w:eastAsia="標楷體" w:cs="TTB7CF9C5CtCID-WinCharSetFFFF-H" w:hint="eastAsia"/>
          <w:b w:val="0"/>
          <w:color w:val="000000"/>
          <w:szCs w:val="32"/>
          <w:lang w:eastAsia="zh-TW"/>
        </w:rPr>
        <w:t>應</w:t>
      </w:r>
      <w:r w:rsidR="004C24E2" w:rsidRPr="00764F27">
        <w:rPr>
          <w:rFonts w:eastAsia="標楷體" w:cs="TTB7CF9C5CtCID-WinCharSetFFFF-H" w:hint="eastAsia"/>
          <w:b w:val="0"/>
          <w:color w:val="000000"/>
          <w:szCs w:val="32"/>
          <w:lang w:eastAsia="zh-TW"/>
        </w:rPr>
        <w:t>因考量之因素</w:t>
      </w:r>
      <w:r w:rsidR="00684CDC" w:rsidRPr="00764F27">
        <w:rPr>
          <w:rFonts w:eastAsia="標楷體" w:cs="TTB7CF9C5CtCID-WinCharSetFFFF-H" w:hint="eastAsia"/>
          <w:b w:val="0"/>
          <w:color w:val="000000"/>
          <w:szCs w:val="32"/>
          <w:lang w:eastAsia="zh-TW"/>
        </w:rPr>
        <w:t>(</w:t>
      </w:r>
      <w:r w:rsidR="00684CDC" w:rsidRPr="00764F27">
        <w:rPr>
          <w:rFonts w:eastAsia="標楷體" w:cs="TTB7CF9C5CtCID-WinCharSetFFFF-H" w:hint="eastAsia"/>
          <w:b w:val="0"/>
          <w:color w:val="000000"/>
          <w:szCs w:val="32"/>
          <w:lang w:eastAsia="zh-TW"/>
        </w:rPr>
        <w:t>參閱本指引</w:t>
      </w:r>
      <w:r w:rsidR="00E46976" w:rsidRPr="00764F27">
        <w:rPr>
          <w:rFonts w:eastAsia="標楷體" w:cs="TTB7CF9C5CtCID-WinCharSetFFFF-H" w:hint="eastAsia"/>
          <w:b w:val="0"/>
          <w:color w:val="000000"/>
          <w:szCs w:val="32"/>
          <w:lang w:eastAsia="zh-TW"/>
        </w:rPr>
        <w:t>六、其他下</w:t>
      </w:r>
      <w:r w:rsidR="00684CDC" w:rsidRPr="00764F27">
        <w:rPr>
          <w:rFonts w:eastAsia="標楷體" w:cs="TTB7CF9C5CtCID-WinCharSetFFFF-H" w:hint="eastAsia"/>
          <w:b w:val="0"/>
          <w:color w:val="000000"/>
          <w:szCs w:val="32"/>
          <w:lang w:eastAsia="zh-TW"/>
        </w:rPr>
        <w:t>之附錄</w:t>
      </w:r>
      <w:r w:rsidR="00684CDC" w:rsidRPr="00764F27">
        <w:rPr>
          <w:rFonts w:eastAsia="標楷體" w:cs="TTB7CF9C5CtCID-WinCharSetFFFF-H" w:hint="eastAsia"/>
          <w:b w:val="0"/>
          <w:color w:val="000000"/>
          <w:szCs w:val="32"/>
          <w:lang w:eastAsia="zh-TW"/>
        </w:rPr>
        <w:t>)</w:t>
      </w:r>
      <w:r w:rsidR="004C24E2" w:rsidRPr="00764F27">
        <w:rPr>
          <w:rFonts w:eastAsia="標楷體" w:cs="TTB7CF9C5CtCID-WinCharSetFFFF-H" w:hint="eastAsia"/>
          <w:b w:val="0"/>
          <w:color w:val="000000"/>
          <w:szCs w:val="32"/>
          <w:lang w:eastAsia="zh-TW"/>
        </w:rPr>
        <w:t>。</w:t>
      </w:r>
    </w:p>
    <w:p w:rsidR="006B0B76" w:rsidRPr="00D52537" w:rsidRDefault="00230D50" w:rsidP="00D52537">
      <w:pPr>
        <w:pStyle w:val="abgheadb"/>
        <w:spacing w:before="100" w:beforeAutospacing="1" w:after="100" w:afterAutospacing="1" w:line="400" w:lineRule="exact"/>
        <w:jc w:val="both"/>
        <w:rPr>
          <w:rFonts w:asciiTheme="minorHAnsi" w:eastAsia="標楷體" w:hAnsiTheme="minorHAnsi" w:cs="Calibri"/>
          <w:szCs w:val="32"/>
          <w:lang w:eastAsia="zh-TW"/>
        </w:rPr>
      </w:pPr>
      <w:r w:rsidRPr="00D52537">
        <w:rPr>
          <w:rFonts w:asciiTheme="minorHAnsi" w:eastAsia="標楷體" w:hAnsiTheme="minorHAnsi" w:cs="Calibri" w:hint="eastAsia"/>
          <w:szCs w:val="32"/>
          <w:lang w:eastAsia="zh-TW"/>
        </w:rPr>
        <w:t>1.2.</w:t>
      </w:r>
      <w:r w:rsidR="00DC5577" w:rsidRPr="00D52537">
        <w:rPr>
          <w:rFonts w:asciiTheme="minorHAnsi" w:eastAsia="標楷體" w:hAnsiTheme="minorHAnsi" w:cs="Calibri" w:hint="eastAsia"/>
          <w:szCs w:val="32"/>
          <w:lang w:eastAsia="zh-TW"/>
        </w:rPr>
        <w:t>3</w:t>
      </w:r>
      <w:r w:rsidR="006B0B76" w:rsidRPr="00D52537">
        <w:rPr>
          <w:rFonts w:asciiTheme="minorHAnsi" w:eastAsia="標楷體" w:hAnsiTheme="minorHAnsi" w:cs="Calibri"/>
          <w:szCs w:val="32"/>
          <w:lang w:eastAsia="zh-TW"/>
        </w:rPr>
        <w:t xml:space="preserve"> </w:t>
      </w:r>
      <w:r w:rsidR="006B0B76" w:rsidRPr="00D52537">
        <w:rPr>
          <w:rFonts w:asciiTheme="minorHAnsi" w:eastAsia="標楷體" w:hAnsiTheme="minorHAnsi" w:cs="Calibri" w:hint="eastAsia"/>
          <w:szCs w:val="32"/>
          <w:lang w:eastAsia="zh-TW"/>
        </w:rPr>
        <w:t>經由表決權主導之</w:t>
      </w:r>
      <w:proofErr w:type="gramStart"/>
      <w:r w:rsidR="006B0B76" w:rsidRPr="00D52537">
        <w:rPr>
          <w:rFonts w:asciiTheme="minorHAnsi" w:eastAsia="標楷體" w:hAnsiTheme="minorHAnsi" w:cs="Calibri" w:hint="eastAsia"/>
          <w:szCs w:val="32"/>
          <w:lang w:eastAsia="zh-TW"/>
        </w:rPr>
        <w:t>攸</w:t>
      </w:r>
      <w:proofErr w:type="gramEnd"/>
      <w:r w:rsidR="006B0B76" w:rsidRPr="00D52537">
        <w:rPr>
          <w:rFonts w:asciiTheme="minorHAnsi" w:eastAsia="標楷體" w:hAnsiTheme="minorHAnsi" w:cs="Calibri" w:hint="eastAsia"/>
          <w:szCs w:val="32"/>
          <w:lang w:eastAsia="zh-TW"/>
        </w:rPr>
        <w:t>關活動</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賦予投資者權力者通常為表決權或類似權利</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不論個別或與其他協議相互結合</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。例如，當被投資者具有很多重大影響被投資者報酬之營運及財務活動，且當針對該等活動須持續作實質性決策時，一般而言即是如此。</w:t>
      </w:r>
    </w:p>
    <w:p w:rsidR="006B0B76" w:rsidRPr="00D52537" w:rsidRDefault="006B0B76" w:rsidP="00D52537">
      <w:pPr>
        <w:autoSpaceDE w:val="0"/>
        <w:autoSpaceDN w:val="0"/>
        <w:adjustRightInd w:val="0"/>
        <w:spacing w:line="400" w:lineRule="exact"/>
        <w:ind w:firstLineChars="200" w:firstLine="640"/>
        <w:rPr>
          <w:rFonts w:eastAsia="標楷體" w:cs="TTB7CF9C5CtCID-WinCharSetFFFF-H"/>
          <w:color w:val="000000"/>
          <w:kern w:val="0"/>
          <w:sz w:val="32"/>
          <w:szCs w:val="32"/>
        </w:rPr>
      </w:pPr>
      <w:r w:rsidRPr="00D52537">
        <w:rPr>
          <w:rFonts w:eastAsia="標楷體" w:hAnsi="標楷體" w:cs="TTB7CF9C5CtCID-WinCharSetFFFF-H" w:hint="eastAsia"/>
          <w:color w:val="000000"/>
          <w:kern w:val="0"/>
          <w:sz w:val="32"/>
          <w:szCs w:val="32"/>
        </w:rPr>
        <w:t>若被投資者之</w:t>
      </w:r>
      <w:proofErr w:type="gramStart"/>
      <w:r w:rsidRPr="00D52537">
        <w:rPr>
          <w:rFonts w:eastAsia="標楷體" w:hAnsi="標楷體" w:cs="TTB7CF9C5CtCID-WinCharSetFFFF-H" w:hint="eastAsia"/>
          <w:color w:val="000000"/>
          <w:kern w:val="0"/>
          <w:sz w:val="32"/>
          <w:szCs w:val="32"/>
        </w:rPr>
        <w:t>攸</w:t>
      </w:r>
      <w:proofErr w:type="gramEnd"/>
      <w:r w:rsidRPr="00D52537">
        <w:rPr>
          <w:rFonts w:eastAsia="標楷體" w:hAnsi="標楷體" w:cs="TTB7CF9C5CtCID-WinCharSetFFFF-H" w:hint="eastAsia"/>
          <w:color w:val="000000"/>
          <w:kern w:val="0"/>
          <w:sz w:val="32"/>
          <w:szCs w:val="32"/>
        </w:rPr>
        <w:t>關活動係透過表決權主導，投資者須考量</w:t>
      </w:r>
      <w:r w:rsidR="003E7BBF" w:rsidRPr="00D52537">
        <w:rPr>
          <w:rFonts w:eastAsia="標楷體" w:hAnsi="標楷體" w:cs="TTB7CF9C5CtCID-WinCharSetFFFF-H" w:hint="eastAsia"/>
          <w:color w:val="000000"/>
          <w:kern w:val="0"/>
          <w:sz w:val="32"/>
          <w:szCs w:val="32"/>
        </w:rPr>
        <w:t>以下</w:t>
      </w:r>
      <w:r w:rsidR="003E7BBF" w:rsidRPr="00D52537">
        <w:rPr>
          <w:rFonts w:eastAsia="標楷體" w:hAnsi="標楷體" w:cs="TTB7CF9C5CtCID-WinCharSetFFFF-H" w:hint="eastAsia"/>
          <w:color w:val="000000"/>
          <w:kern w:val="0"/>
          <w:sz w:val="32"/>
          <w:szCs w:val="32"/>
        </w:rPr>
        <w:t>1.2.3.1~1.2.3.3</w:t>
      </w:r>
      <w:r w:rsidRPr="00D52537">
        <w:rPr>
          <w:rFonts w:eastAsia="標楷體" w:hAnsi="標楷體" w:cs="TTB7CF9C5CtCID-WinCharSetFFFF-H" w:hint="eastAsia"/>
          <w:color w:val="000000"/>
          <w:kern w:val="0"/>
          <w:sz w:val="32"/>
          <w:szCs w:val="32"/>
        </w:rPr>
        <w:t>單元所述之規定。</w:t>
      </w:r>
    </w:p>
    <w:p w:rsidR="006B0B76" w:rsidRPr="00D52537" w:rsidRDefault="00230D50" w:rsidP="00D52537">
      <w:pPr>
        <w:pStyle w:val="abgheadd"/>
        <w:spacing w:before="100" w:beforeAutospacing="1" w:after="100" w:afterAutospacing="1" w:line="400" w:lineRule="exact"/>
        <w:jc w:val="both"/>
        <w:rPr>
          <w:rFonts w:ascii="Calibri" w:eastAsia="標楷體" w:hAnsi="Calibri" w:cs="Calibri"/>
          <w:b/>
          <w:i/>
          <w:sz w:val="32"/>
          <w:szCs w:val="32"/>
          <w:lang w:eastAsia="zh-TW"/>
        </w:rPr>
      </w:pPr>
      <w:r w:rsidRPr="00D52537">
        <w:rPr>
          <w:rFonts w:ascii="Calibri" w:eastAsia="標楷體" w:hAnsi="Calibri" w:cs="Calibri" w:hint="eastAsia"/>
          <w:b/>
          <w:i/>
          <w:sz w:val="32"/>
          <w:szCs w:val="32"/>
          <w:lang w:eastAsia="zh-TW"/>
        </w:rPr>
        <w:t>1.2.</w:t>
      </w:r>
      <w:r w:rsidR="00DC5577" w:rsidRPr="00D52537">
        <w:rPr>
          <w:rFonts w:ascii="Calibri" w:eastAsia="標楷體" w:hAnsi="Calibri" w:cs="Calibri" w:hint="eastAsia"/>
          <w:b/>
          <w:i/>
          <w:sz w:val="32"/>
          <w:szCs w:val="32"/>
          <w:lang w:eastAsia="zh-TW"/>
        </w:rPr>
        <w:t>3.1</w:t>
      </w:r>
      <w:r w:rsidR="006B0B76" w:rsidRPr="00D52537">
        <w:rPr>
          <w:rFonts w:ascii="Calibri" w:eastAsia="標楷體" w:hAnsi="Calibri" w:cs="Calibri"/>
          <w:b/>
          <w:i/>
          <w:sz w:val="32"/>
          <w:szCs w:val="32"/>
          <w:lang w:eastAsia="zh-TW"/>
        </w:rPr>
        <w:t xml:space="preserve"> </w:t>
      </w:r>
      <w:r w:rsidR="006B0B76" w:rsidRPr="00D52537">
        <w:rPr>
          <w:rFonts w:ascii="Calibri" w:eastAsia="標楷體" w:hAnsi="Calibri" w:cs="Calibri" w:hint="eastAsia"/>
          <w:b/>
          <w:i/>
          <w:sz w:val="32"/>
          <w:szCs w:val="32"/>
          <w:lang w:eastAsia="zh-TW"/>
        </w:rPr>
        <w:t>具多數表決權之權力</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除有</w:t>
      </w:r>
      <w:r w:rsidR="003061BF" w:rsidRPr="00D52537">
        <w:rPr>
          <w:rFonts w:eastAsia="標楷體" w:cs="TTB7CF9C5CtCID-WinCharSetFFFF-H" w:hint="eastAsia"/>
          <w:color w:val="000000"/>
          <w:kern w:val="0"/>
          <w:sz w:val="32"/>
          <w:szCs w:val="32"/>
        </w:rPr>
        <w:t>1.2.3.2</w:t>
      </w:r>
      <w:r w:rsidRPr="00D52537">
        <w:rPr>
          <w:rFonts w:eastAsia="標楷體" w:cs="TTB7CF9C5CtCID-WinCharSetFFFF-H" w:hint="eastAsia"/>
          <w:color w:val="000000"/>
          <w:kern w:val="0"/>
          <w:sz w:val="32"/>
          <w:szCs w:val="32"/>
        </w:rPr>
        <w:t>單元所述之例外，持有被投資者多數表決權之投資者於下列情況具有權力：</w:t>
      </w:r>
    </w:p>
    <w:p w:rsidR="006B0B76" w:rsidRPr="00D52537" w:rsidRDefault="006B0B76" w:rsidP="00D52537">
      <w:pPr>
        <w:pStyle w:val="a4"/>
        <w:numPr>
          <w:ilvl w:val="0"/>
          <w:numId w:val="12"/>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被投資者之</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關活動係由具多數表決權持有人之表決所主導；或</w:t>
      </w:r>
    </w:p>
    <w:p w:rsidR="006B0B76" w:rsidRPr="00D52537" w:rsidRDefault="006B0B76" w:rsidP="00D52537">
      <w:pPr>
        <w:pStyle w:val="a4"/>
        <w:numPr>
          <w:ilvl w:val="0"/>
          <w:numId w:val="12"/>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主導被投資者</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關活動之治理單位多數成員，係由多數表決權持有人之表決所任命。</w:t>
      </w:r>
    </w:p>
    <w:p w:rsidR="006B0B76" w:rsidRPr="00D52537" w:rsidRDefault="00230D50" w:rsidP="00D52537">
      <w:pPr>
        <w:pStyle w:val="abgheadd"/>
        <w:spacing w:before="100" w:beforeAutospacing="1" w:after="100" w:afterAutospacing="1" w:line="400" w:lineRule="exact"/>
        <w:jc w:val="both"/>
        <w:rPr>
          <w:rFonts w:ascii="Calibri" w:eastAsia="標楷體" w:hAnsi="Calibri" w:cs="Calibri"/>
          <w:b/>
          <w:i/>
          <w:sz w:val="32"/>
          <w:szCs w:val="32"/>
          <w:lang w:eastAsia="zh-TW"/>
        </w:rPr>
      </w:pPr>
      <w:r w:rsidRPr="00D52537">
        <w:rPr>
          <w:rFonts w:ascii="Calibri" w:eastAsia="標楷體" w:hAnsi="Calibri" w:cs="Calibri" w:hint="eastAsia"/>
          <w:b/>
          <w:i/>
          <w:sz w:val="32"/>
          <w:szCs w:val="32"/>
          <w:lang w:eastAsia="zh-TW"/>
        </w:rPr>
        <w:t>1.2.</w:t>
      </w:r>
      <w:r w:rsidR="00DC5577" w:rsidRPr="00D52537">
        <w:rPr>
          <w:rFonts w:ascii="Calibri" w:eastAsia="標楷體" w:hAnsi="Calibri" w:cs="Calibri" w:hint="eastAsia"/>
          <w:b/>
          <w:i/>
          <w:sz w:val="32"/>
          <w:szCs w:val="32"/>
          <w:lang w:eastAsia="zh-TW"/>
        </w:rPr>
        <w:t>3.2</w:t>
      </w:r>
      <w:r w:rsidR="006B0B76" w:rsidRPr="00D52537">
        <w:rPr>
          <w:rFonts w:ascii="Calibri" w:eastAsia="標楷體" w:hAnsi="Calibri" w:cs="Calibri"/>
          <w:b/>
          <w:i/>
          <w:sz w:val="32"/>
          <w:szCs w:val="32"/>
          <w:lang w:eastAsia="zh-TW"/>
        </w:rPr>
        <w:t xml:space="preserve"> </w:t>
      </w:r>
      <w:r w:rsidR="006B0B76" w:rsidRPr="00D52537">
        <w:rPr>
          <w:rFonts w:ascii="Calibri" w:eastAsia="標楷體" w:hAnsi="Calibri" w:cs="Calibri" w:hint="eastAsia"/>
          <w:b/>
          <w:i/>
          <w:sz w:val="32"/>
          <w:szCs w:val="32"/>
          <w:lang w:eastAsia="zh-TW"/>
        </w:rPr>
        <w:t>具多數表決權但無權力</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持有被投資者超過半數表決權之投資者，僅於其表決權具實質性，且提供投資者現時能力以主導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通常係透過決定營運及財務政策</w:t>
      </w:r>
      <w:r w:rsidRPr="00D52537">
        <w:rPr>
          <w:rFonts w:eastAsia="標楷體" w:cs="TTB7CF9C5CtCID-WinCharSetFFFF-H"/>
          <w:color w:val="000000"/>
          <w:kern w:val="0"/>
          <w:sz w:val="32"/>
          <w:szCs w:val="32"/>
        </w:rPr>
        <w:t>)</w:t>
      </w:r>
      <w:r w:rsidRPr="00D52537">
        <w:rPr>
          <w:rFonts w:eastAsia="標楷體" w:cs="TTB7CF9C5CtCID-WinCharSetFFFF-H" w:hint="eastAsia"/>
          <w:color w:val="000000"/>
          <w:kern w:val="0"/>
          <w:sz w:val="32"/>
          <w:szCs w:val="32"/>
        </w:rPr>
        <w:t>，方能透過表決權對被投資者具有權力。</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有時，即使投資者持有被投資者多數表決權，但投資者對被投資者不具有權力，此種</w:t>
      </w:r>
      <w:proofErr w:type="gramStart"/>
      <w:r w:rsidRPr="00D52537">
        <w:rPr>
          <w:rFonts w:eastAsia="標楷體" w:cs="TTB7CF9C5CtCID-WinCharSetFFFF-H" w:hint="eastAsia"/>
          <w:color w:val="000000"/>
          <w:kern w:val="0"/>
          <w:sz w:val="32"/>
          <w:szCs w:val="32"/>
        </w:rPr>
        <w:t>況</w:t>
      </w:r>
      <w:proofErr w:type="gramEnd"/>
      <w:r w:rsidRPr="00D52537">
        <w:rPr>
          <w:rFonts w:eastAsia="標楷體" w:cs="TTB7CF9C5CtCID-WinCharSetFFFF-H" w:hint="eastAsia"/>
          <w:color w:val="000000"/>
          <w:kern w:val="0"/>
          <w:sz w:val="32"/>
          <w:szCs w:val="32"/>
        </w:rPr>
        <w:t>發生於投資者之表決權不具實質性時。</w:t>
      </w:r>
      <w:r w:rsidRPr="00D52537">
        <w:rPr>
          <w:rFonts w:eastAsia="標楷體" w:cs="TTB7CF9C5CtCID-WinCharSetFFFF-H"/>
          <w:color w:val="000000"/>
          <w:kern w:val="0"/>
          <w:sz w:val="32"/>
          <w:szCs w:val="32"/>
        </w:rPr>
        <w:t>IFRS 10</w:t>
      </w:r>
      <w:r w:rsidRPr="00D52537">
        <w:rPr>
          <w:rFonts w:eastAsia="標楷體" w:cs="TTB7CF9C5CtCID-WinCharSetFFFF-H" w:hint="eastAsia"/>
          <w:color w:val="000000"/>
          <w:kern w:val="0"/>
          <w:sz w:val="32"/>
          <w:szCs w:val="32"/>
        </w:rPr>
        <w:t>列舉兩項此種情況</w:t>
      </w:r>
      <w:r w:rsidRPr="00D52537">
        <w:rPr>
          <w:rFonts w:ascii="新細明體" w:eastAsia="新細明體" w:hAnsi="新細明體" w:cs="TTB7CF9C5CtCID-WinCharSetFFFF-H" w:hint="eastAsia"/>
          <w:color w:val="000000"/>
          <w:kern w:val="0"/>
          <w:sz w:val="32"/>
          <w:szCs w:val="32"/>
        </w:rPr>
        <w:t>：</w:t>
      </w:r>
    </w:p>
    <w:p w:rsidR="006B0B76" w:rsidRPr="00D52537" w:rsidRDefault="006B0B76" w:rsidP="00D52537">
      <w:pPr>
        <w:pStyle w:val="a4"/>
        <w:numPr>
          <w:ilvl w:val="0"/>
          <w:numId w:val="13"/>
        </w:numPr>
        <w:autoSpaceDE w:val="0"/>
        <w:autoSpaceDN w:val="0"/>
        <w:adjustRightInd w:val="0"/>
        <w:spacing w:line="400" w:lineRule="exact"/>
        <w:ind w:leftChars="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若另一個體具有既存權利，</w:t>
      </w:r>
      <w:proofErr w:type="gramStart"/>
      <w:r w:rsidRPr="00D52537">
        <w:rPr>
          <w:rFonts w:eastAsia="標楷體" w:cs="TTB7CF9C5CtCID-WinCharSetFFFF-H" w:hint="eastAsia"/>
          <w:color w:val="000000"/>
          <w:kern w:val="0"/>
          <w:sz w:val="32"/>
          <w:szCs w:val="32"/>
        </w:rPr>
        <w:t>該既存</w:t>
      </w:r>
      <w:proofErr w:type="gramEnd"/>
      <w:r w:rsidRPr="00D52537">
        <w:rPr>
          <w:rFonts w:eastAsia="標楷體" w:cs="TTB7CF9C5CtCID-WinCharSetFFFF-H" w:hint="eastAsia"/>
          <w:color w:val="000000"/>
          <w:kern w:val="0"/>
          <w:sz w:val="32"/>
          <w:szCs w:val="32"/>
        </w:rPr>
        <w:t>權利能提供該個體權</w:t>
      </w:r>
      <w:r w:rsidRPr="00D52537">
        <w:rPr>
          <w:rFonts w:eastAsia="標楷體" w:cs="TTB7CF9C5CtCID-WinCharSetFFFF-H" w:hint="eastAsia"/>
          <w:color w:val="000000"/>
          <w:kern w:val="0"/>
          <w:sz w:val="32"/>
          <w:szCs w:val="32"/>
        </w:rPr>
        <w:lastRenderedPageBreak/>
        <w:t>利以主導被投資者之</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關活動，且該個體非為投資者之代理人時，投資者對被投資者不具有權力。</w:t>
      </w:r>
      <w:r w:rsidRPr="00D52537">
        <w:rPr>
          <w:rFonts w:eastAsia="標楷體" w:cs="TTB7CF9C5CtCID-WinCharSetFFFF-H"/>
          <w:color w:val="000000"/>
          <w:kern w:val="0"/>
          <w:sz w:val="32"/>
          <w:szCs w:val="32"/>
        </w:rPr>
        <w:t>[IFRS 10:B36]</w:t>
      </w:r>
    </w:p>
    <w:p w:rsidR="003061BF" w:rsidRPr="00D52537" w:rsidRDefault="006B0B76" w:rsidP="00D52537">
      <w:pPr>
        <w:pStyle w:val="a4"/>
        <w:numPr>
          <w:ilvl w:val="0"/>
          <w:numId w:val="13"/>
        </w:numPr>
        <w:autoSpaceDE w:val="0"/>
        <w:autoSpaceDN w:val="0"/>
        <w:adjustRightInd w:val="0"/>
        <w:spacing w:line="400" w:lineRule="exact"/>
        <w:ind w:leftChars="0"/>
        <w:rPr>
          <w:rFonts w:eastAsia="標楷體" w:cs="Calibri"/>
          <w:color w:val="0000FF"/>
          <w:kern w:val="0"/>
          <w:sz w:val="32"/>
          <w:szCs w:val="32"/>
        </w:rPr>
      </w:pPr>
      <w:r w:rsidRPr="00D52537">
        <w:rPr>
          <w:rFonts w:eastAsia="標楷體" w:cs="TTB7CF9C5CtCID-WinCharSetFFFF-H" w:hint="eastAsia"/>
          <w:color w:val="000000"/>
          <w:kern w:val="0"/>
          <w:sz w:val="32"/>
          <w:szCs w:val="32"/>
        </w:rPr>
        <w:t>若</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關活動受政府、法院、管理人、接管人、清算人或主管機關主導，持有被投資者超過半數表決權之投資者不具有權力。</w:t>
      </w:r>
    </w:p>
    <w:p w:rsidR="006B0B76" w:rsidRPr="00D52537" w:rsidRDefault="00230D50" w:rsidP="00D52537">
      <w:pPr>
        <w:pStyle w:val="abgheadd"/>
        <w:spacing w:before="100" w:beforeAutospacing="1" w:after="100" w:afterAutospacing="1" w:line="400" w:lineRule="exact"/>
        <w:jc w:val="both"/>
        <w:rPr>
          <w:rFonts w:ascii="Calibri" w:eastAsia="標楷體" w:hAnsi="Calibri" w:cs="Calibri"/>
          <w:b/>
          <w:i/>
          <w:sz w:val="32"/>
          <w:szCs w:val="32"/>
          <w:lang w:eastAsia="zh-TW"/>
        </w:rPr>
      </w:pPr>
      <w:r w:rsidRPr="00D52537">
        <w:rPr>
          <w:rFonts w:ascii="Calibri" w:eastAsia="標楷體" w:hAnsi="Calibri" w:cs="Calibri" w:hint="eastAsia"/>
          <w:b/>
          <w:i/>
          <w:sz w:val="32"/>
          <w:szCs w:val="32"/>
          <w:lang w:eastAsia="zh-TW"/>
        </w:rPr>
        <w:t>1.</w:t>
      </w:r>
      <w:r w:rsidR="00DC5577" w:rsidRPr="00D52537">
        <w:rPr>
          <w:rFonts w:ascii="Calibri" w:eastAsia="標楷體" w:hAnsi="Calibri" w:cs="Calibri" w:hint="eastAsia"/>
          <w:b/>
          <w:i/>
          <w:sz w:val="32"/>
          <w:szCs w:val="32"/>
          <w:lang w:eastAsia="zh-TW"/>
        </w:rPr>
        <w:t>2.3.3</w:t>
      </w:r>
      <w:r w:rsidR="006B0B76" w:rsidRPr="00D52537">
        <w:rPr>
          <w:rFonts w:ascii="Calibri" w:eastAsia="標楷體" w:hAnsi="Calibri" w:cs="Calibri"/>
          <w:b/>
          <w:i/>
          <w:sz w:val="32"/>
          <w:szCs w:val="32"/>
          <w:lang w:eastAsia="zh-TW"/>
        </w:rPr>
        <w:t xml:space="preserve"> </w:t>
      </w:r>
      <w:r w:rsidR="006B0B76" w:rsidRPr="00D52537">
        <w:rPr>
          <w:rFonts w:ascii="Calibri" w:eastAsia="標楷體" w:hAnsi="Calibri" w:cs="Calibri" w:hint="eastAsia"/>
          <w:b/>
          <w:i/>
          <w:sz w:val="32"/>
          <w:szCs w:val="32"/>
          <w:lang w:eastAsia="zh-TW"/>
        </w:rPr>
        <w:t>不具多數表決權之權力</w:t>
      </w:r>
    </w:p>
    <w:p w:rsidR="006B0B76" w:rsidRDefault="006B0B76"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22"/>
        </w:rPr>
      </w:pPr>
      <w:r w:rsidRPr="00D52537">
        <w:rPr>
          <w:rFonts w:eastAsia="標楷體" w:cs="TimesNewRoman"/>
          <w:color w:val="000000"/>
          <w:kern w:val="0"/>
          <w:sz w:val="32"/>
          <w:szCs w:val="32"/>
        </w:rPr>
        <w:t>IFRS 10</w:t>
      </w:r>
      <w:r w:rsidRPr="00D52537">
        <w:rPr>
          <w:rFonts w:eastAsia="標楷體" w:cs="TimesNewRoman" w:hint="eastAsia"/>
          <w:color w:val="000000"/>
          <w:kern w:val="0"/>
          <w:sz w:val="32"/>
          <w:szCs w:val="32"/>
        </w:rPr>
        <w:t>認知到</w:t>
      </w:r>
      <w:r w:rsidRPr="00D52537">
        <w:rPr>
          <w:rFonts w:eastAsia="標楷體" w:cs="TTB7CF9C5CtCID-WinCharSetFFFF-H" w:hint="eastAsia"/>
          <w:color w:val="000000"/>
          <w:kern w:val="0"/>
          <w:sz w:val="32"/>
          <w:szCs w:val="32"/>
        </w:rPr>
        <w:t>即使投資者持有少於多數之被投資者表決權，仍可具有權力。投資者僅有少於多數之被投資者表決權仍可具有權力，例如透過</w:t>
      </w:r>
      <w:r w:rsidR="00A14DF6" w:rsidRPr="00D52537">
        <w:rPr>
          <w:rFonts w:eastAsia="標楷體" w:cs="TTB7CF9C5CtCID-WinCharSetFFFF-H" w:hint="eastAsia"/>
          <w:color w:val="000000"/>
          <w:kern w:val="0"/>
          <w:sz w:val="32"/>
          <w:szCs w:val="32"/>
        </w:rPr>
        <w:t>以下方式</w:t>
      </w:r>
      <w:r w:rsidRPr="00D52537">
        <w:rPr>
          <w:rFonts w:eastAsia="標楷體" w:cs="TTB7CF9C5CtCID-WinCharSetFFFF-H" w:hint="eastAsia"/>
          <w:color w:val="000000"/>
          <w:kern w:val="0"/>
          <w:sz w:val="32"/>
          <w:szCs w:val="32"/>
        </w:rPr>
        <w:t>：</w:t>
      </w:r>
    </w:p>
    <w:tbl>
      <w:tblPr>
        <w:tblStyle w:val="-1"/>
        <w:tblW w:w="0" w:type="auto"/>
        <w:tblLook w:val="04A0"/>
      </w:tblPr>
      <w:tblGrid>
        <w:gridCol w:w="2235"/>
        <w:gridCol w:w="6127"/>
      </w:tblGrid>
      <w:tr w:rsidR="00A14DF6" w:rsidRPr="00D52537" w:rsidTr="00235A73">
        <w:trPr>
          <w:cnfStyle w:val="100000000000"/>
        </w:trPr>
        <w:tc>
          <w:tcPr>
            <w:cnfStyle w:val="001000000000"/>
            <w:tcW w:w="2235" w:type="dxa"/>
          </w:tcPr>
          <w:p w:rsidR="00A14DF6" w:rsidRPr="00D52537" w:rsidRDefault="00E110C9" w:rsidP="00D52537">
            <w:pPr>
              <w:pStyle w:val="abgheadb"/>
              <w:spacing w:before="100" w:beforeAutospacing="1" w:after="100" w:afterAutospacing="1" w:line="400" w:lineRule="exact"/>
              <w:jc w:val="both"/>
              <w:rPr>
                <w:rFonts w:eastAsia="標楷體" w:cs="TTB7CF9C5CtCID-WinCharSetFFFF-H"/>
                <w:color w:val="000000"/>
                <w:sz w:val="28"/>
                <w:szCs w:val="28"/>
                <w:lang w:eastAsia="zh-TW"/>
              </w:rPr>
            </w:pPr>
            <w:r w:rsidRPr="00D52537">
              <w:rPr>
                <w:rFonts w:eastAsia="標楷體" w:cs="TTB7CF9C5CtCID-WinCharSetFFFF-H" w:hint="eastAsia"/>
                <w:color w:val="000000"/>
                <w:sz w:val="28"/>
                <w:szCs w:val="28"/>
              </w:rPr>
              <w:t>可</w:t>
            </w:r>
            <w:r w:rsidRPr="00D52537">
              <w:rPr>
                <w:rFonts w:eastAsia="標楷體" w:cs="TTB7CF9C5CtCID-WinCharSetFFFF-H" w:hint="eastAsia"/>
                <w:color w:val="000000"/>
                <w:sz w:val="28"/>
                <w:szCs w:val="28"/>
                <w:lang w:eastAsia="zh-TW"/>
              </w:rPr>
              <w:t>能之方式</w:t>
            </w:r>
          </w:p>
        </w:tc>
        <w:tc>
          <w:tcPr>
            <w:tcW w:w="6127" w:type="dxa"/>
          </w:tcPr>
          <w:p w:rsidR="00A14DF6" w:rsidRPr="00D52537" w:rsidRDefault="00E110C9" w:rsidP="00D52537">
            <w:pPr>
              <w:pStyle w:val="abgheadb"/>
              <w:spacing w:before="100" w:beforeAutospacing="1" w:after="100" w:afterAutospacing="1" w:line="400" w:lineRule="exact"/>
              <w:jc w:val="both"/>
              <w:cnfStyle w:val="100000000000"/>
              <w:rPr>
                <w:rFonts w:asciiTheme="minorHAnsi" w:eastAsia="標楷體" w:hAnsiTheme="minorHAnsi" w:cs="Calibri"/>
                <w:sz w:val="28"/>
                <w:szCs w:val="28"/>
                <w:lang w:eastAsia="zh-TW"/>
              </w:rPr>
            </w:pPr>
            <w:proofErr w:type="spellStart"/>
            <w:r w:rsidRPr="00D52537">
              <w:rPr>
                <w:rFonts w:eastAsia="標楷體" w:cs="TTB7CF9C5CtCID-WinCharSetFFFF-H" w:hint="eastAsia"/>
                <w:color w:val="000000"/>
                <w:sz w:val="28"/>
                <w:szCs w:val="28"/>
              </w:rPr>
              <w:t>說明</w:t>
            </w:r>
            <w:proofErr w:type="spellEnd"/>
          </w:p>
        </w:tc>
      </w:tr>
      <w:tr w:rsidR="00A14DF6" w:rsidRPr="00D52537" w:rsidTr="00235A73">
        <w:trPr>
          <w:cnfStyle w:val="000000100000"/>
        </w:trPr>
        <w:tc>
          <w:tcPr>
            <w:cnfStyle w:val="001000000000"/>
            <w:tcW w:w="2235" w:type="dxa"/>
          </w:tcPr>
          <w:p w:rsidR="00A14DF6" w:rsidRPr="00D52537" w:rsidRDefault="00A14DF6" w:rsidP="00D52537">
            <w:pPr>
              <w:pStyle w:val="abgheadb"/>
              <w:spacing w:before="100" w:beforeAutospacing="1" w:after="100" w:afterAutospacing="1" w:line="400" w:lineRule="exact"/>
              <w:jc w:val="both"/>
              <w:rPr>
                <w:rFonts w:asciiTheme="minorHAnsi" w:eastAsia="標楷體" w:hAnsiTheme="minorHAnsi" w:cs="Calibri"/>
                <w:sz w:val="28"/>
                <w:szCs w:val="28"/>
                <w:lang w:eastAsia="zh-TW"/>
              </w:rPr>
            </w:pPr>
            <w:r w:rsidRPr="00D52537">
              <w:rPr>
                <w:rFonts w:eastAsia="標楷體" w:cs="TTB7CF9C5CtCID-WinCharSetFFFF-H" w:hint="eastAsia"/>
                <w:color w:val="000000"/>
                <w:sz w:val="28"/>
                <w:szCs w:val="28"/>
                <w:lang w:eastAsia="zh-TW"/>
              </w:rPr>
              <w:t>投資者與其他表決權持有人間之合約協議</w:t>
            </w:r>
          </w:p>
        </w:tc>
        <w:tc>
          <w:tcPr>
            <w:tcW w:w="6127" w:type="dxa"/>
          </w:tcPr>
          <w:p w:rsidR="00E110C9" w:rsidRPr="00D52537" w:rsidRDefault="00E110C9" w:rsidP="00D52537">
            <w:pPr>
              <w:autoSpaceDE w:val="0"/>
              <w:autoSpaceDN w:val="0"/>
              <w:adjustRightInd w:val="0"/>
              <w:spacing w:before="100" w:beforeAutospacing="1" w:line="400" w:lineRule="exact"/>
              <w:cnfStyle w:val="000000100000"/>
              <w:rPr>
                <w:rFonts w:eastAsia="標楷體" w:cs="TTB7CF9C5CtCID-WinCharSetFFFF-H"/>
                <w:color w:val="000000"/>
                <w:kern w:val="0"/>
                <w:sz w:val="28"/>
                <w:szCs w:val="28"/>
              </w:rPr>
            </w:pPr>
            <w:r w:rsidRPr="00D52537">
              <w:rPr>
                <w:rFonts w:eastAsia="標楷體" w:cs="TTB7CF9C5CtCID-WinCharSetFFFF-H" w:hint="eastAsia"/>
                <w:color w:val="000000"/>
                <w:kern w:val="0"/>
                <w:sz w:val="28"/>
                <w:szCs w:val="28"/>
              </w:rPr>
              <w:t>即使投資者在無合約協議之情況下不具有足夠表決權以賦予其權力，投資者與其他表決權持有人間之合約協議，可賦予投資者權利以行使足夠表決權以賦予投資者權力。</w:t>
            </w:r>
          </w:p>
          <w:p w:rsidR="00E110C9" w:rsidRPr="00D52537" w:rsidRDefault="00E110C9" w:rsidP="00D52537">
            <w:pPr>
              <w:autoSpaceDE w:val="0"/>
              <w:autoSpaceDN w:val="0"/>
              <w:adjustRightInd w:val="0"/>
              <w:spacing w:after="100" w:afterAutospacing="1" w:line="400" w:lineRule="exact"/>
              <w:cnfStyle w:val="000000100000"/>
              <w:rPr>
                <w:rFonts w:eastAsia="標楷體" w:cs="TTB7CF9C5CtCID-WinCharSetFFFF-H"/>
                <w:color w:val="000000"/>
                <w:kern w:val="0"/>
                <w:sz w:val="28"/>
                <w:szCs w:val="28"/>
              </w:rPr>
            </w:pPr>
            <w:r w:rsidRPr="00D52537">
              <w:rPr>
                <w:rFonts w:eastAsia="標楷體" w:cs="TTB7CF9C5CtCID-WinCharSetFFFF-H" w:hint="eastAsia"/>
                <w:color w:val="000000"/>
                <w:kern w:val="0"/>
                <w:sz w:val="28"/>
                <w:szCs w:val="28"/>
              </w:rPr>
              <w:t>例如，</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公司持有</w:t>
            </w:r>
            <w:r w:rsidRPr="00D52537">
              <w:rPr>
                <w:rFonts w:eastAsia="標楷體" w:cs="TTB7CF9C5CtCID-WinCharSetFFFF-H"/>
                <w:color w:val="000000"/>
                <w:kern w:val="0"/>
                <w:sz w:val="28"/>
                <w:szCs w:val="28"/>
              </w:rPr>
              <w:t>E</w:t>
            </w:r>
            <w:r w:rsidRPr="00D52537">
              <w:rPr>
                <w:rFonts w:eastAsia="標楷體" w:cs="TTB7CF9C5CtCID-WinCharSetFFFF-H" w:hint="eastAsia"/>
                <w:color w:val="000000"/>
                <w:kern w:val="0"/>
                <w:sz w:val="28"/>
                <w:szCs w:val="28"/>
              </w:rPr>
              <w:t>公司</w:t>
            </w:r>
            <w:r w:rsidRPr="00D52537">
              <w:rPr>
                <w:rFonts w:eastAsia="標楷體" w:cs="TTB7CF9C5CtCID-WinCharSetFFFF-H"/>
                <w:color w:val="000000"/>
                <w:kern w:val="0"/>
                <w:sz w:val="28"/>
                <w:szCs w:val="28"/>
              </w:rPr>
              <w:t>40%</w:t>
            </w:r>
            <w:r w:rsidRPr="00D52537">
              <w:rPr>
                <w:rFonts w:eastAsia="標楷體" w:cs="TTB7CF9C5CtCID-WinCharSetFFFF-H" w:hint="eastAsia"/>
                <w:color w:val="000000"/>
                <w:kern w:val="0"/>
                <w:sz w:val="28"/>
                <w:szCs w:val="28"/>
              </w:rPr>
              <w:t>之普通股，其他</w:t>
            </w:r>
            <w:r w:rsidRPr="00D52537">
              <w:rPr>
                <w:rFonts w:eastAsia="標楷體" w:cs="TTB7CF9C5CtCID-WinCharSetFFFF-H"/>
                <w:color w:val="000000"/>
                <w:kern w:val="0"/>
                <w:sz w:val="28"/>
                <w:szCs w:val="28"/>
              </w:rPr>
              <w:t>B</w:t>
            </w:r>
            <w:r w:rsidRPr="00D52537">
              <w:rPr>
                <w:rFonts w:eastAsia="標楷體" w:cs="TTB7CF9C5CtCID-WinCharSetFFFF-H" w:hint="eastAsia"/>
                <w:color w:val="000000"/>
                <w:kern w:val="0"/>
                <w:sz w:val="28"/>
                <w:szCs w:val="28"/>
              </w:rPr>
              <w:t>、</w:t>
            </w:r>
            <w:r w:rsidRPr="00D52537">
              <w:rPr>
                <w:rFonts w:eastAsia="標楷體" w:cs="TTB7CF9C5CtCID-WinCharSetFFFF-H"/>
                <w:color w:val="000000"/>
                <w:kern w:val="0"/>
                <w:sz w:val="28"/>
                <w:szCs w:val="28"/>
              </w:rPr>
              <w:t>C</w:t>
            </w:r>
            <w:r w:rsidRPr="00D52537">
              <w:rPr>
                <w:rFonts w:eastAsia="標楷體" w:cs="TTB7CF9C5CtCID-WinCharSetFFFF-H" w:hint="eastAsia"/>
                <w:color w:val="000000"/>
                <w:kern w:val="0"/>
                <w:sz w:val="28"/>
                <w:szCs w:val="28"/>
              </w:rPr>
              <w:t>及</w:t>
            </w:r>
            <w:r w:rsidRPr="00D52537">
              <w:rPr>
                <w:rFonts w:eastAsia="標楷體" w:cs="TTB7CF9C5CtCID-WinCharSetFFFF-H"/>
                <w:color w:val="000000"/>
                <w:kern w:val="0"/>
                <w:sz w:val="28"/>
                <w:szCs w:val="28"/>
              </w:rPr>
              <w:t>D</w:t>
            </w:r>
            <w:r w:rsidR="006E54FF" w:rsidRPr="00D52537">
              <w:rPr>
                <w:rFonts w:eastAsia="標楷體" w:cs="TTB7CF9C5CtCID-WinCharSetFFFF-H" w:hint="eastAsia"/>
                <w:color w:val="000000"/>
                <w:kern w:val="0"/>
                <w:sz w:val="28"/>
                <w:szCs w:val="28"/>
              </w:rPr>
              <w:t>三位</w:t>
            </w:r>
            <w:r w:rsidRPr="00D52537">
              <w:rPr>
                <w:rFonts w:eastAsia="標楷體" w:cs="TTB7CF9C5CtCID-WinCharSetFFFF-H" w:hint="eastAsia"/>
                <w:color w:val="000000"/>
                <w:kern w:val="0"/>
                <w:sz w:val="28"/>
                <w:szCs w:val="28"/>
              </w:rPr>
              <w:t>股東各持有</w:t>
            </w:r>
            <w:r w:rsidRPr="00D52537">
              <w:rPr>
                <w:rFonts w:eastAsia="標楷體" w:cs="TTB7CF9C5CtCID-WinCharSetFFFF-H"/>
                <w:color w:val="000000"/>
                <w:kern w:val="0"/>
                <w:sz w:val="28"/>
                <w:szCs w:val="28"/>
              </w:rPr>
              <w:t>20%</w:t>
            </w:r>
            <w:r w:rsidRPr="00D52537">
              <w:rPr>
                <w:rFonts w:eastAsia="標楷體" w:cs="TTB7CF9C5CtCID-WinCharSetFFFF-H" w:hint="eastAsia"/>
                <w:color w:val="000000"/>
                <w:kern w:val="0"/>
                <w:sz w:val="28"/>
                <w:szCs w:val="28"/>
              </w:rPr>
              <w:t>。</w:t>
            </w:r>
            <w:r w:rsidRPr="00D52537">
              <w:rPr>
                <w:rFonts w:eastAsia="標楷體" w:cs="TTB7CF9C5CtCID-WinCharSetFFFF-H"/>
                <w:color w:val="000000"/>
                <w:kern w:val="0"/>
                <w:sz w:val="28"/>
                <w:szCs w:val="28"/>
              </w:rPr>
              <w:t>E</w:t>
            </w:r>
            <w:r w:rsidRPr="00D52537">
              <w:rPr>
                <w:rFonts w:eastAsia="標楷體" w:cs="TTB7CF9C5CtCID-WinCharSetFFFF-H" w:hint="eastAsia"/>
                <w:color w:val="000000"/>
                <w:kern w:val="0"/>
                <w:sz w:val="28"/>
                <w:szCs w:val="28"/>
              </w:rPr>
              <w:t>公司之</w:t>
            </w:r>
            <w:proofErr w:type="gramStart"/>
            <w:r w:rsidRPr="00D52537">
              <w:rPr>
                <w:rFonts w:eastAsia="標楷體" w:cs="TTB7CF9C5CtCID-WinCharSetFFFF-H" w:hint="eastAsia"/>
                <w:color w:val="000000"/>
                <w:kern w:val="0"/>
                <w:sz w:val="28"/>
                <w:szCs w:val="28"/>
              </w:rPr>
              <w:t>攸</w:t>
            </w:r>
            <w:proofErr w:type="gramEnd"/>
            <w:r w:rsidRPr="00D52537">
              <w:rPr>
                <w:rFonts w:eastAsia="標楷體" w:cs="TTB7CF9C5CtCID-WinCharSetFFFF-H" w:hint="eastAsia"/>
                <w:color w:val="000000"/>
                <w:kern w:val="0"/>
                <w:sz w:val="28"/>
                <w:szCs w:val="28"/>
              </w:rPr>
              <w:t>關活動係由</w:t>
            </w:r>
            <w:r w:rsidRPr="00D52537">
              <w:rPr>
                <w:rFonts w:eastAsia="標楷體" w:cs="TTB7CF9C5CtCID-WinCharSetFFFF-H"/>
                <w:color w:val="000000"/>
                <w:kern w:val="0"/>
                <w:sz w:val="28"/>
                <w:szCs w:val="28"/>
              </w:rPr>
              <w:t>6</w:t>
            </w:r>
            <w:r w:rsidRPr="00D52537">
              <w:rPr>
                <w:rFonts w:eastAsia="標楷體" w:cs="TTB7CF9C5CtCID-WinCharSetFFFF-H" w:hint="eastAsia"/>
                <w:color w:val="000000"/>
                <w:kern w:val="0"/>
                <w:sz w:val="28"/>
                <w:szCs w:val="28"/>
              </w:rPr>
              <w:t>席董事組成之董事會所主導，董事由</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公司任命</w:t>
            </w:r>
            <w:r w:rsidRPr="00D52537">
              <w:rPr>
                <w:rFonts w:eastAsia="標楷體" w:cs="TTB7CF9C5CtCID-WinCharSetFFFF-H"/>
                <w:color w:val="000000"/>
                <w:kern w:val="0"/>
                <w:sz w:val="28"/>
                <w:szCs w:val="28"/>
              </w:rPr>
              <w:t>3</w:t>
            </w:r>
            <w:r w:rsidRPr="00D52537">
              <w:rPr>
                <w:rFonts w:eastAsia="標楷體" w:cs="TTB7CF9C5CtCID-WinCharSetFFFF-H" w:hint="eastAsia"/>
                <w:color w:val="000000"/>
                <w:kern w:val="0"/>
                <w:sz w:val="28"/>
                <w:szCs w:val="28"/>
              </w:rPr>
              <w:t>席，</w:t>
            </w:r>
            <w:r w:rsidRPr="00D52537">
              <w:rPr>
                <w:rFonts w:eastAsia="標楷體" w:cs="TTB7CF9C5CtCID-WinCharSetFFFF-H"/>
                <w:color w:val="000000"/>
                <w:kern w:val="0"/>
                <w:sz w:val="28"/>
                <w:szCs w:val="28"/>
              </w:rPr>
              <w:t>B</w:t>
            </w:r>
            <w:r w:rsidRPr="00D52537">
              <w:rPr>
                <w:rFonts w:eastAsia="標楷體" w:cs="TTB7CF9C5CtCID-WinCharSetFFFF-H" w:hint="eastAsia"/>
                <w:color w:val="000000"/>
                <w:kern w:val="0"/>
                <w:sz w:val="28"/>
                <w:szCs w:val="28"/>
              </w:rPr>
              <w:t>、</w:t>
            </w:r>
            <w:r w:rsidRPr="00D52537">
              <w:rPr>
                <w:rFonts w:eastAsia="標楷體" w:cs="TTB7CF9C5CtCID-WinCharSetFFFF-H"/>
                <w:color w:val="000000"/>
                <w:kern w:val="0"/>
                <w:sz w:val="28"/>
                <w:szCs w:val="28"/>
              </w:rPr>
              <w:t>C</w:t>
            </w:r>
            <w:r w:rsidRPr="00D52537">
              <w:rPr>
                <w:rFonts w:eastAsia="標楷體" w:cs="TTB7CF9C5CtCID-WinCharSetFFFF-H" w:hint="eastAsia"/>
                <w:color w:val="000000"/>
                <w:kern w:val="0"/>
                <w:sz w:val="28"/>
                <w:szCs w:val="28"/>
              </w:rPr>
              <w:t>及</w:t>
            </w:r>
            <w:r w:rsidRPr="00D52537">
              <w:rPr>
                <w:rFonts w:eastAsia="標楷體" w:cs="TTB7CF9C5CtCID-WinCharSetFFFF-H"/>
                <w:color w:val="000000"/>
                <w:kern w:val="0"/>
                <w:sz w:val="28"/>
                <w:szCs w:val="28"/>
              </w:rPr>
              <w:t>D</w:t>
            </w:r>
            <w:r w:rsidRPr="00D52537">
              <w:rPr>
                <w:rFonts w:eastAsia="標楷體" w:cs="TTB7CF9C5CtCID-WinCharSetFFFF-H" w:hint="eastAsia"/>
                <w:color w:val="000000"/>
                <w:kern w:val="0"/>
                <w:sz w:val="28"/>
                <w:szCs w:val="28"/>
              </w:rPr>
              <w:t>各任命</w:t>
            </w:r>
            <w:r w:rsidRPr="00D52537">
              <w:rPr>
                <w:rFonts w:eastAsia="標楷體" w:cs="TTB7CF9C5CtCID-WinCharSetFFFF-H"/>
                <w:color w:val="000000"/>
                <w:kern w:val="0"/>
                <w:sz w:val="28"/>
                <w:szCs w:val="28"/>
              </w:rPr>
              <w:t>1</w:t>
            </w:r>
            <w:r w:rsidRPr="00D52537">
              <w:rPr>
                <w:rFonts w:eastAsia="標楷體" w:cs="TTB7CF9C5CtCID-WinCharSetFFFF-H" w:hint="eastAsia"/>
                <w:color w:val="000000"/>
                <w:kern w:val="0"/>
                <w:sz w:val="28"/>
                <w:szCs w:val="28"/>
              </w:rPr>
              <w:t>席。</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公司與</w:t>
            </w:r>
            <w:r w:rsidRPr="00D52537">
              <w:rPr>
                <w:rFonts w:eastAsia="標楷體" w:cs="TTB7CF9C5CtCID-WinCharSetFFFF-H"/>
                <w:color w:val="000000"/>
                <w:kern w:val="0"/>
                <w:sz w:val="28"/>
                <w:szCs w:val="28"/>
              </w:rPr>
              <w:t>B</w:t>
            </w:r>
            <w:r w:rsidRPr="00D52537">
              <w:rPr>
                <w:rFonts w:eastAsia="標楷體" w:cs="TTB7CF9C5CtCID-WinCharSetFFFF-H" w:hint="eastAsia"/>
                <w:color w:val="000000"/>
                <w:kern w:val="0"/>
                <w:sz w:val="28"/>
                <w:szCs w:val="28"/>
              </w:rPr>
              <w:t>單獨簽訂</w:t>
            </w:r>
            <w:proofErr w:type="gramStart"/>
            <w:r w:rsidRPr="00D52537">
              <w:rPr>
                <w:rFonts w:eastAsia="標楷體" w:cs="TTB7CF9C5CtCID-WinCharSetFFFF-H" w:hint="eastAsia"/>
                <w:color w:val="000000"/>
                <w:kern w:val="0"/>
                <w:sz w:val="28"/>
                <w:szCs w:val="28"/>
              </w:rPr>
              <w:t>一</w:t>
            </w:r>
            <w:proofErr w:type="gramEnd"/>
            <w:r w:rsidRPr="00D52537">
              <w:rPr>
                <w:rFonts w:eastAsia="標楷體" w:cs="TTB7CF9C5CtCID-WinCharSetFFFF-H" w:hint="eastAsia"/>
                <w:color w:val="000000"/>
                <w:kern w:val="0"/>
                <w:sz w:val="28"/>
                <w:szCs w:val="28"/>
              </w:rPr>
              <w:t>合約協議，約定</w:t>
            </w:r>
            <w:r w:rsidRPr="00D52537">
              <w:rPr>
                <w:rFonts w:eastAsia="標楷體" w:cs="TTB7CF9C5CtCID-WinCharSetFFFF-H"/>
                <w:color w:val="000000"/>
                <w:kern w:val="0"/>
                <w:sz w:val="28"/>
                <w:szCs w:val="28"/>
              </w:rPr>
              <w:t>B</w:t>
            </w:r>
            <w:r w:rsidRPr="00D52537">
              <w:rPr>
                <w:rFonts w:eastAsia="標楷體" w:cs="TTB7CF9C5CtCID-WinCharSetFFFF-H" w:hint="eastAsia"/>
                <w:color w:val="000000"/>
                <w:kern w:val="0"/>
                <w:sz w:val="28"/>
                <w:szCs w:val="28"/>
              </w:rPr>
              <w:t>所任命之董事其表決須與</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公司之任命之董事相同。若無其他因素，因該合約協議實質上賦予</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公司於董事會對有關</w:t>
            </w:r>
            <w:proofErr w:type="gramStart"/>
            <w:r w:rsidRPr="00D52537">
              <w:rPr>
                <w:rFonts w:eastAsia="標楷體" w:cs="TTB7CF9C5CtCID-WinCharSetFFFF-H" w:hint="eastAsia"/>
                <w:color w:val="000000"/>
                <w:kern w:val="0"/>
                <w:sz w:val="28"/>
                <w:szCs w:val="28"/>
              </w:rPr>
              <w:t>攸</w:t>
            </w:r>
            <w:proofErr w:type="gramEnd"/>
            <w:r w:rsidRPr="00D52537">
              <w:rPr>
                <w:rFonts w:eastAsia="標楷體" w:cs="TTB7CF9C5CtCID-WinCharSetFFFF-H" w:hint="eastAsia"/>
                <w:color w:val="000000"/>
                <w:kern w:val="0"/>
                <w:sz w:val="28"/>
                <w:szCs w:val="28"/>
              </w:rPr>
              <w:t>關活動之事項具多數表決權，致</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公司對</w:t>
            </w:r>
            <w:r w:rsidRPr="00D52537">
              <w:rPr>
                <w:rFonts w:eastAsia="標楷體" w:cs="TTB7CF9C5CtCID-WinCharSetFFFF-H"/>
                <w:color w:val="000000"/>
                <w:kern w:val="0"/>
                <w:sz w:val="28"/>
                <w:szCs w:val="28"/>
              </w:rPr>
              <w:t>E</w:t>
            </w:r>
            <w:r w:rsidRPr="00D52537">
              <w:rPr>
                <w:rFonts w:eastAsia="標楷體" w:cs="TTB7CF9C5CtCID-WinCharSetFFFF-H" w:hint="eastAsia"/>
                <w:color w:val="000000"/>
                <w:kern w:val="0"/>
                <w:sz w:val="28"/>
                <w:szCs w:val="28"/>
              </w:rPr>
              <w:t>公司具有權力，即便</w:t>
            </w:r>
            <w:r w:rsidRPr="00D52537">
              <w:rPr>
                <w:rFonts w:eastAsia="標楷體" w:cs="TTB7CF9C5CtCID-WinCharSetFFFF-H"/>
                <w:color w:val="000000"/>
                <w:kern w:val="0"/>
                <w:sz w:val="28"/>
                <w:szCs w:val="28"/>
              </w:rPr>
              <w:t>A</w:t>
            </w:r>
            <w:r w:rsidRPr="00D52537">
              <w:rPr>
                <w:rFonts w:eastAsia="標楷體" w:cs="TTB7CF9C5CtCID-WinCharSetFFFF-H" w:hint="eastAsia"/>
                <w:color w:val="000000"/>
                <w:kern w:val="0"/>
                <w:sz w:val="28"/>
                <w:szCs w:val="28"/>
              </w:rPr>
              <w:t>公司並未持有對</w:t>
            </w:r>
            <w:r w:rsidRPr="00D52537">
              <w:rPr>
                <w:rFonts w:eastAsia="標楷體" w:cs="TTB7CF9C5CtCID-WinCharSetFFFF-H"/>
                <w:color w:val="000000"/>
                <w:kern w:val="0"/>
                <w:sz w:val="28"/>
                <w:szCs w:val="28"/>
              </w:rPr>
              <w:t>E</w:t>
            </w:r>
            <w:r w:rsidRPr="00D52537">
              <w:rPr>
                <w:rFonts w:eastAsia="標楷體" w:cs="TTB7CF9C5CtCID-WinCharSetFFFF-H" w:hint="eastAsia"/>
                <w:color w:val="000000"/>
                <w:kern w:val="0"/>
                <w:sz w:val="28"/>
                <w:szCs w:val="28"/>
              </w:rPr>
              <w:t>公司之多數表決權。</w:t>
            </w:r>
          </w:p>
        </w:tc>
      </w:tr>
      <w:tr w:rsidR="00A14DF6" w:rsidRPr="00D52537" w:rsidTr="00235A73">
        <w:tc>
          <w:tcPr>
            <w:cnfStyle w:val="001000000000"/>
            <w:tcW w:w="2235" w:type="dxa"/>
          </w:tcPr>
          <w:p w:rsidR="00A14DF6" w:rsidRPr="00D52537" w:rsidRDefault="00A14DF6" w:rsidP="00D52537">
            <w:pPr>
              <w:pStyle w:val="abgheadb"/>
              <w:spacing w:before="100" w:beforeAutospacing="1" w:after="100" w:afterAutospacing="1" w:line="400" w:lineRule="exact"/>
              <w:jc w:val="both"/>
              <w:rPr>
                <w:rFonts w:asciiTheme="minorHAnsi" w:eastAsia="標楷體" w:hAnsiTheme="minorHAnsi" w:cs="Calibri"/>
                <w:sz w:val="28"/>
                <w:szCs w:val="28"/>
                <w:lang w:eastAsia="zh-TW"/>
              </w:rPr>
            </w:pPr>
            <w:r w:rsidRPr="00D52537">
              <w:rPr>
                <w:rFonts w:eastAsia="標楷體" w:cs="TTB7CF9C5CtCID-WinCharSetFFFF-H" w:hint="eastAsia"/>
                <w:color w:val="000000"/>
                <w:sz w:val="28"/>
                <w:szCs w:val="28"/>
                <w:lang w:eastAsia="zh-TW"/>
              </w:rPr>
              <w:t>由其他合約協議所產生之權利</w:t>
            </w:r>
          </w:p>
        </w:tc>
        <w:tc>
          <w:tcPr>
            <w:tcW w:w="6127" w:type="dxa"/>
          </w:tcPr>
          <w:p w:rsidR="00A14DF6" w:rsidRPr="00D52537" w:rsidRDefault="00E110C9" w:rsidP="00D52537">
            <w:pPr>
              <w:autoSpaceDE w:val="0"/>
              <w:autoSpaceDN w:val="0"/>
              <w:adjustRightInd w:val="0"/>
              <w:spacing w:before="100" w:beforeAutospacing="1" w:after="100" w:afterAutospacing="1" w:line="400" w:lineRule="exact"/>
              <w:cnfStyle w:val="000000000000"/>
              <w:rPr>
                <w:rFonts w:eastAsia="標楷體" w:cs="Calibri"/>
                <w:sz w:val="28"/>
                <w:szCs w:val="28"/>
              </w:rPr>
            </w:pPr>
            <w:r w:rsidRPr="00D52537">
              <w:rPr>
                <w:rFonts w:eastAsia="標楷體" w:cs="TTB7CF9C5CtCID-WinCharSetFFFF-H" w:hint="eastAsia"/>
                <w:color w:val="000000"/>
                <w:kern w:val="0"/>
                <w:sz w:val="28"/>
                <w:szCs w:val="28"/>
              </w:rPr>
              <w:t>其他決策權與表決權相互結合時，可賦予投資者現時能力以主導</w:t>
            </w:r>
            <w:proofErr w:type="gramStart"/>
            <w:r w:rsidRPr="00D52537">
              <w:rPr>
                <w:rFonts w:eastAsia="標楷體" w:cs="TTB7CF9C5CtCID-WinCharSetFFFF-H" w:hint="eastAsia"/>
                <w:color w:val="000000"/>
                <w:kern w:val="0"/>
                <w:sz w:val="28"/>
                <w:szCs w:val="28"/>
              </w:rPr>
              <w:t>攸</w:t>
            </w:r>
            <w:proofErr w:type="gramEnd"/>
            <w:r w:rsidRPr="00D52537">
              <w:rPr>
                <w:rFonts w:eastAsia="標楷體" w:cs="TTB7CF9C5CtCID-WinCharSetFFFF-H" w:hint="eastAsia"/>
                <w:color w:val="000000"/>
                <w:kern w:val="0"/>
                <w:sz w:val="28"/>
                <w:szCs w:val="28"/>
              </w:rPr>
              <w:t>關活動。例如，合約協議所明定之權利與表決權相互結合時，可能足以賦予投資者現時能力以主導被投資者之製造過程或主導重大影響被投資者報酬之被投資者其他營運或財務活動。</w:t>
            </w:r>
            <w:r w:rsidRPr="00D52537">
              <w:rPr>
                <w:rFonts w:eastAsia="標楷體" w:cs="Calibri" w:hint="eastAsia"/>
                <w:sz w:val="28"/>
                <w:szCs w:val="28"/>
              </w:rPr>
              <w:t xml:space="preserve"> </w:t>
            </w:r>
          </w:p>
        </w:tc>
      </w:tr>
      <w:tr w:rsidR="00A14DF6" w:rsidRPr="00D52537" w:rsidTr="00235A73">
        <w:trPr>
          <w:cnfStyle w:val="000000100000"/>
        </w:trPr>
        <w:tc>
          <w:tcPr>
            <w:cnfStyle w:val="001000000000"/>
            <w:tcW w:w="2235" w:type="dxa"/>
          </w:tcPr>
          <w:p w:rsidR="00A14DF6" w:rsidRPr="00D52537" w:rsidRDefault="00E110C9" w:rsidP="00D52537">
            <w:pPr>
              <w:pStyle w:val="abgheadb"/>
              <w:spacing w:before="100" w:beforeAutospacing="1" w:after="100" w:afterAutospacing="1" w:line="400" w:lineRule="exact"/>
              <w:jc w:val="both"/>
              <w:rPr>
                <w:rFonts w:eastAsia="標楷體" w:cs="TTB7CF9C5CtCID-WinCharSetFFFF-H"/>
                <w:color w:val="000000"/>
                <w:sz w:val="28"/>
                <w:szCs w:val="28"/>
                <w:lang w:eastAsia="zh-TW"/>
              </w:rPr>
            </w:pPr>
            <w:r w:rsidRPr="00D52537">
              <w:rPr>
                <w:rFonts w:eastAsia="標楷體" w:cs="TTB7CF9C5CtCID-WinCharSetFFFF-H" w:hint="eastAsia"/>
                <w:color w:val="000000"/>
                <w:sz w:val="28"/>
                <w:szCs w:val="28"/>
                <w:lang w:eastAsia="zh-TW"/>
              </w:rPr>
              <w:t>藉由所持有之表決權而具有實際能力以</w:t>
            </w:r>
            <w:r w:rsidRPr="00D52537">
              <w:rPr>
                <w:rFonts w:asciiTheme="minorHAnsi" w:eastAsia="標楷體" w:hAnsiTheme="minorHAnsi" w:cs="TTB7CF9C5CtCID-WinCharSetFFFF-H"/>
                <w:color w:val="000000"/>
                <w:sz w:val="28"/>
                <w:szCs w:val="28"/>
                <w:lang w:eastAsia="zh-TW"/>
              </w:rPr>
              <w:t>主導</w:t>
            </w:r>
            <w:proofErr w:type="gramStart"/>
            <w:r w:rsidRPr="00D52537">
              <w:rPr>
                <w:rFonts w:asciiTheme="minorHAnsi" w:eastAsia="標楷體" w:hAnsiTheme="minorHAnsi" w:cs="TTB7CF9C5CtCID-WinCharSetFFFF-H"/>
                <w:color w:val="000000"/>
                <w:sz w:val="28"/>
                <w:szCs w:val="28"/>
                <w:lang w:eastAsia="zh-TW"/>
              </w:rPr>
              <w:t>攸</w:t>
            </w:r>
            <w:proofErr w:type="gramEnd"/>
            <w:r w:rsidRPr="00D52537">
              <w:rPr>
                <w:rFonts w:asciiTheme="minorHAnsi" w:eastAsia="標楷體" w:hAnsiTheme="minorHAnsi" w:cs="TTB7CF9C5CtCID-WinCharSetFFFF-H"/>
                <w:color w:val="000000"/>
                <w:sz w:val="28"/>
                <w:szCs w:val="28"/>
                <w:lang w:eastAsia="zh-TW"/>
              </w:rPr>
              <w:t>關</w:t>
            </w:r>
            <w:r w:rsidRPr="00D52537">
              <w:rPr>
                <w:rFonts w:asciiTheme="minorHAnsi" w:eastAsia="標楷體" w:hAnsiTheme="minorHAnsi" w:cs="TTB7CF9C5CtCID-WinCharSetFFFF-H"/>
                <w:color w:val="000000"/>
                <w:sz w:val="28"/>
                <w:szCs w:val="28"/>
                <w:lang w:eastAsia="zh-TW"/>
              </w:rPr>
              <w:lastRenderedPageBreak/>
              <w:t>活動</w:t>
            </w:r>
            <w:r w:rsidRPr="00D52537">
              <w:rPr>
                <w:rFonts w:asciiTheme="minorHAnsi" w:eastAsia="標楷體" w:hAnsiTheme="minorHAnsi" w:cs="TTB7CF9C5CtCID-WinCharSetFFFF-H"/>
                <w:color w:val="000000"/>
                <w:sz w:val="28"/>
                <w:szCs w:val="28"/>
                <w:lang w:eastAsia="zh-TW"/>
              </w:rPr>
              <w:t>(“de facto power”)</w:t>
            </w:r>
          </w:p>
        </w:tc>
        <w:tc>
          <w:tcPr>
            <w:tcW w:w="6127" w:type="dxa"/>
          </w:tcPr>
          <w:p w:rsidR="00A14DF6" w:rsidRPr="00D52537" w:rsidRDefault="00E110C9" w:rsidP="00D52537">
            <w:pPr>
              <w:autoSpaceDE w:val="0"/>
              <w:autoSpaceDN w:val="0"/>
              <w:adjustRightInd w:val="0"/>
              <w:spacing w:before="100" w:beforeAutospacing="1" w:after="100" w:afterAutospacing="1" w:line="400" w:lineRule="exact"/>
              <w:cnfStyle w:val="000000100000"/>
              <w:rPr>
                <w:rFonts w:eastAsia="標楷體" w:cs="Calibri"/>
                <w:sz w:val="28"/>
                <w:szCs w:val="28"/>
                <w:lang w:val="en-GB"/>
              </w:rPr>
            </w:pPr>
            <w:r w:rsidRPr="00D52537">
              <w:rPr>
                <w:rFonts w:eastAsia="標楷體" w:cs="TTB7CF9C5CtCID-WinCharSetFFFF-H" w:hint="eastAsia"/>
                <w:color w:val="000000"/>
                <w:kern w:val="0"/>
                <w:sz w:val="28"/>
                <w:szCs w:val="28"/>
              </w:rPr>
              <w:lastRenderedPageBreak/>
              <w:t>參閱</w:t>
            </w:r>
            <w:r w:rsidR="003E7BBF" w:rsidRPr="00D52537">
              <w:rPr>
                <w:rFonts w:eastAsia="標楷體" w:cs="TTB7CF9C5CtCID-WinCharSetFFFF-H" w:hint="eastAsia"/>
                <w:color w:val="000000"/>
                <w:kern w:val="0"/>
                <w:sz w:val="28"/>
                <w:szCs w:val="28"/>
              </w:rPr>
              <w:t>1.2.3.3.1</w:t>
            </w:r>
            <w:r w:rsidRPr="00D52537">
              <w:rPr>
                <w:rFonts w:eastAsia="標楷體" w:cs="TTB7CF9C5CtCID-WinCharSetFFFF-H" w:hint="eastAsia"/>
                <w:color w:val="000000"/>
                <w:kern w:val="0"/>
                <w:sz w:val="28"/>
                <w:szCs w:val="28"/>
              </w:rPr>
              <w:t>說明。</w:t>
            </w:r>
          </w:p>
        </w:tc>
      </w:tr>
      <w:tr w:rsidR="00A14DF6" w:rsidRPr="00D52537" w:rsidTr="00235A73">
        <w:tc>
          <w:tcPr>
            <w:cnfStyle w:val="001000000000"/>
            <w:tcW w:w="2235" w:type="dxa"/>
          </w:tcPr>
          <w:p w:rsidR="00A14DF6" w:rsidRPr="00D52537" w:rsidRDefault="00A14DF6" w:rsidP="00D52537">
            <w:pPr>
              <w:pStyle w:val="abgheadb"/>
              <w:spacing w:before="100" w:beforeAutospacing="1" w:after="100" w:afterAutospacing="1" w:line="400" w:lineRule="exact"/>
              <w:jc w:val="both"/>
              <w:rPr>
                <w:rFonts w:asciiTheme="minorHAnsi" w:eastAsia="標楷體" w:hAnsiTheme="minorHAnsi" w:cs="Calibri"/>
                <w:sz w:val="28"/>
                <w:szCs w:val="28"/>
                <w:lang w:eastAsia="zh-TW"/>
              </w:rPr>
            </w:pPr>
            <w:proofErr w:type="spellStart"/>
            <w:r w:rsidRPr="00D52537">
              <w:rPr>
                <w:rFonts w:eastAsia="標楷體" w:cs="TTB7CF9C5CtCID-WinCharSetFFFF-H" w:hint="eastAsia"/>
                <w:color w:val="000000"/>
                <w:sz w:val="28"/>
                <w:szCs w:val="28"/>
              </w:rPr>
              <w:lastRenderedPageBreak/>
              <w:t>潛在表決權</w:t>
            </w:r>
            <w:proofErr w:type="spellEnd"/>
          </w:p>
        </w:tc>
        <w:tc>
          <w:tcPr>
            <w:tcW w:w="6127" w:type="dxa"/>
          </w:tcPr>
          <w:p w:rsidR="00A14DF6" w:rsidRPr="00D52537" w:rsidRDefault="003E7BBF" w:rsidP="00D52537">
            <w:pPr>
              <w:autoSpaceDE w:val="0"/>
              <w:autoSpaceDN w:val="0"/>
              <w:adjustRightInd w:val="0"/>
              <w:spacing w:before="100" w:beforeAutospacing="1" w:after="100" w:afterAutospacing="1" w:line="400" w:lineRule="exact"/>
              <w:cnfStyle w:val="000000000000"/>
              <w:rPr>
                <w:rFonts w:eastAsia="標楷體" w:cs="Calibri"/>
                <w:sz w:val="28"/>
                <w:szCs w:val="28"/>
              </w:rPr>
            </w:pPr>
            <w:r w:rsidRPr="00D52537">
              <w:rPr>
                <w:rFonts w:eastAsia="標楷體" w:cs="TTB7CF9C5CtCID-WinCharSetFFFF-H" w:hint="eastAsia"/>
                <w:color w:val="000000"/>
                <w:kern w:val="0"/>
                <w:sz w:val="28"/>
                <w:szCs w:val="28"/>
              </w:rPr>
              <w:t>參閱</w:t>
            </w:r>
            <w:r w:rsidRPr="00D52537">
              <w:rPr>
                <w:rFonts w:eastAsia="標楷體" w:cs="TTB7CF9C5CtCID-WinCharSetFFFF-H" w:hint="eastAsia"/>
                <w:color w:val="000000"/>
                <w:kern w:val="0"/>
                <w:sz w:val="28"/>
                <w:szCs w:val="28"/>
              </w:rPr>
              <w:t>1.2.3.3.2</w:t>
            </w:r>
            <w:r w:rsidRPr="00D52537">
              <w:rPr>
                <w:rFonts w:eastAsia="標楷體" w:cs="TTB7CF9C5CtCID-WinCharSetFFFF-H" w:hint="eastAsia"/>
                <w:color w:val="000000"/>
                <w:kern w:val="0"/>
                <w:sz w:val="28"/>
                <w:szCs w:val="28"/>
              </w:rPr>
              <w:t>說明。</w:t>
            </w:r>
          </w:p>
        </w:tc>
      </w:tr>
      <w:tr w:rsidR="00A14DF6" w:rsidRPr="00D52537" w:rsidTr="00235A73">
        <w:trPr>
          <w:cnfStyle w:val="000000100000"/>
        </w:trPr>
        <w:tc>
          <w:tcPr>
            <w:cnfStyle w:val="001000000000"/>
            <w:tcW w:w="2235" w:type="dxa"/>
          </w:tcPr>
          <w:p w:rsidR="00A14DF6" w:rsidRPr="00D52537" w:rsidRDefault="00A14DF6" w:rsidP="00D52537">
            <w:pPr>
              <w:pStyle w:val="abgheadb"/>
              <w:spacing w:before="100" w:beforeAutospacing="1" w:after="100" w:afterAutospacing="1" w:line="400" w:lineRule="exact"/>
              <w:jc w:val="both"/>
              <w:rPr>
                <w:rFonts w:asciiTheme="minorHAnsi" w:eastAsia="標楷體" w:hAnsiTheme="minorHAnsi" w:cs="Calibri"/>
                <w:sz w:val="28"/>
                <w:szCs w:val="28"/>
                <w:lang w:eastAsia="zh-TW"/>
              </w:rPr>
            </w:pPr>
            <w:proofErr w:type="spellStart"/>
            <w:r w:rsidRPr="00D52537">
              <w:rPr>
                <w:rFonts w:eastAsia="標楷體" w:cs="TimesNewRoman" w:hint="eastAsia"/>
                <w:color w:val="000000"/>
                <w:sz w:val="28"/>
                <w:szCs w:val="28"/>
              </w:rPr>
              <w:t>上述</w:t>
            </w:r>
            <w:r w:rsidRPr="00D52537">
              <w:rPr>
                <w:rFonts w:eastAsia="標楷體" w:cs="TTB7CF9C5CtCID-WinCharSetFFFF-H" w:hint="eastAsia"/>
                <w:color w:val="000000"/>
                <w:sz w:val="28"/>
                <w:szCs w:val="28"/>
              </w:rPr>
              <w:t>之組合</w:t>
            </w:r>
            <w:proofErr w:type="spellEnd"/>
          </w:p>
        </w:tc>
        <w:tc>
          <w:tcPr>
            <w:tcW w:w="6127" w:type="dxa"/>
          </w:tcPr>
          <w:p w:rsidR="00A14DF6" w:rsidRPr="00D52537" w:rsidRDefault="003E7BBF" w:rsidP="00D52537">
            <w:pPr>
              <w:autoSpaceDE w:val="0"/>
              <w:autoSpaceDN w:val="0"/>
              <w:adjustRightInd w:val="0"/>
              <w:spacing w:before="100" w:beforeAutospacing="1" w:after="100" w:afterAutospacing="1" w:line="400" w:lineRule="exact"/>
              <w:cnfStyle w:val="000000100000"/>
              <w:rPr>
                <w:rFonts w:eastAsia="標楷體" w:cs="TTB7CF9C5CtCID-WinCharSetFFFF-H"/>
                <w:color w:val="000000"/>
                <w:kern w:val="0"/>
                <w:sz w:val="28"/>
                <w:szCs w:val="28"/>
              </w:rPr>
            </w:pPr>
            <w:r w:rsidRPr="00D52537">
              <w:rPr>
                <w:rFonts w:eastAsia="標楷體" w:cs="TTB7CF9C5CtCID-WinCharSetFFFF-H" w:hint="eastAsia"/>
                <w:color w:val="000000"/>
                <w:kern w:val="0"/>
                <w:sz w:val="28"/>
                <w:szCs w:val="28"/>
              </w:rPr>
              <w:t>實質性潛在表決權單獨或與其他權利相互結合，均可賦予投資者現時能力以主導</w:t>
            </w:r>
            <w:proofErr w:type="gramStart"/>
            <w:r w:rsidRPr="00D52537">
              <w:rPr>
                <w:rFonts w:eastAsia="標楷體" w:cs="TTB7CF9C5CtCID-WinCharSetFFFF-H" w:hint="eastAsia"/>
                <w:color w:val="000000"/>
                <w:kern w:val="0"/>
                <w:sz w:val="28"/>
                <w:szCs w:val="28"/>
              </w:rPr>
              <w:t>攸</w:t>
            </w:r>
            <w:proofErr w:type="gramEnd"/>
            <w:r w:rsidRPr="00D52537">
              <w:rPr>
                <w:rFonts w:eastAsia="標楷體" w:cs="TTB7CF9C5CtCID-WinCharSetFFFF-H" w:hint="eastAsia"/>
                <w:color w:val="000000"/>
                <w:kern w:val="0"/>
                <w:sz w:val="28"/>
                <w:szCs w:val="28"/>
              </w:rPr>
              <w:t>關活動。例如，當投資者持有被投資者</w:t>
            </w:r>
            <w:r w:rsidRPr="00D52537">
              <w:rPr>
                <w:rFonts w:eastAsia="標楷體" w:cs="TimesNewRoman"/>
                <w:color w:val="000000"/>
                <w:kern w:val="0"/>
                <w:sz w:val="28"/>
                <w:szCs w:val="28"/>
              </w:rPr>
              <w:t>40%</w:t>
            </w:r>
            <w:r w:rsidRPr="00D52537">
              <w:rPr>
                <w:rFonts w:eastAsia="標楷體" w:cs="TTB7CF9C5CtCID-WinCharSetFFFF-H" w:hint="eastAsia"/>
                <w:color w:val="000000"/>
                <w:kern w:val="0"/>
                <w:sz w:val="28"/>
                <w:szCs w:val="28"/>
              </w:rPr>
              <w:t>之表決權，且持有另外取得</w:t>
            </w:r>
            <w:r w:rsidRPr="00D52537">
              <w:rPr>
                <w:rFonts w:eastAsia="標楷體" w:cs="TimesNewRoman"/>
                <w:color w:val="000000"/>
                <w:kern w:val="0"/>
                <w:sz w:val="28"/>
                <w:szCs w:val="28"/>
              </w:rPr>
              <w:t>20%</w:t>
            </w:r>
            <w:r w:rsidRPr="00D52537">
              <w:rPr>
                <w:rFonts w:eastAsia="標楷體" w:cs="TTB7CF9C5CtCID-WinCharSetFFFF-H" w:hint="eastAsia"/>
                <w:color w:val="000000"/>
                <w:kern w:val="0"/>
                <w:sz w:val="28"/>
                <w:szCs w:val="28"/>
              </w:rPr>
              <w:t>表決權之選擇權所產生之實質性權利，即很可能屬此種情況。</w:t>
            </w:r>
          </w:p>
        </w:tc>
      </w:tr>
    </w:tbl>
    <w:p w:rsidR="006B0B76" w:rsidRPr="00D52537" w:rsidRDefault="00230D50" w:rsidP="00D52537">
      <w:pPr>
        <w:pStyle w:val="abgheadd"/>
        <w:spacing w:before="100" w:beforeAutospacing="1" w:after="100" w:afterAutospacing="1" w:line="400" w:lineRule="exact"/>
        <w:jc w:val="both"/>
        <w:rPr>
          <w:rFonts w:ascii="Calibri" w:eastAsia="標楷體" w:hAnsi="Calibri" w:cs="Calibri"/>
          <w:b/>
          <w:i/>
          <w:sz w:val="32"/>
          <w:szCs w:val="32"/>
          <w:lang w:eastAsia="zh-TW"/>
        </w:rPr>
      </w:pPr>
      <w:r w:rsidRPr="00D52537">
        <w:rPr>
          <w:rFonts w:ascii="Calibri" w:eastAsia="標楷體" w:hAnsi="Calibri" w:cs="Calibri" w:hint="eastAsia"/>
          <w:b/>
          <w:i/>
          <w:sz w:val="32"/>
          <w:szCs w:val="32"/>
          <w:lang w:eastAsia="zh-TW"/>
        </w:rPr>
        <w:t>1.</w:t>
      </w:r>
      <w:r w:rsidR="00E110C9" w:rsidRPr="00D52537">
        <w:rPr>
          <w:rFonts w:ascii="Calibri" w:eastAsia="標楷體" w:hAnsi="Calibri" w:cs="Calibri" w:hint="eastAsia"/>
          <w:b/>
          <w:i/>
          <w:sz w:val="32"/>
          <w:szCs w:val="32"/>
          <w:lang w:eastAsia="zh-TW"/>
        </w:rPr>
        <w:t>2</w:t>
      </w:r>
      <w:r w:rsidR="00DC5577" w:rsidRPr="00D52537">
        <w:rPr>
          <w:rFonts w:ascii="Calibri" w:eastAsia="標楷體" w:hAnsi="Calibri" w:cs="Calibri" w:hint="eastAsia"/>
          <w:b/>
          <w:i/>
          <w:sz w:val="32"/>
          <w:szCs w:val="32"/>
          <w:lang w:eastAsia="zh-TW"/>
        </w:rPr>
        <w:t>.3.3</w:t>
      </w:r>
      <w:r w:rsidR="00E110C9" w:rsidRPr="00D52537">
        <w:rPr>
          <w:rFonts w:ascii="Calibri" w:eastAsia="標楷體" w:hAnsi="Calibri" w:cs="Calibri" w:hint="eastAsia"/>
          <w:b/>
          <w:i/>
          <w:sz w:val="32"/>
          <w:szCs w:val="32"/>
          <w:lang w:eastAsia="zh-TW"/>
        </w:rPr>
        <w:t>.1</w:t>
      </w:r>
      <w:r w:rsidR="006B0B76" w:rsidRPr="00D52537">
        <w:rPr>
          <w:rFonts w:ascii="Calibri" w:eastAsia="標楷體" w:hAnsi="Calibri" w:cs="Calibri"/>
          <w:b/>
          <w:i/>
          <w:sz w:val="32"/>
          <w:szCs w:val="32"/>
          <w:lang w:eastAsia="zh-TW"/>
        </w:rPr>
        <w:t xml:space="preserve"> </w:t>
      </w:r>
      <w:r w:rsidR="006B0B76" w:rsidRPr="00D52537">
        <w:rPr>
          <w:rFonts w:ascii="Calibri" w:eastAsia="標楷體" w:hAnsi="Calibri" w:cs="Calibri" w:hint="eastAsia"/>
          <w:b/>
          <w:i/>
          <w:sz w:val="32"/>
          <w:szCs w:val="32"/>
          <w:lang w:eastAsia="zh-TW"/>
        </w:rPr>
        <w:t>藉由所持有之表決權而具有實際能力以主導</w:t>
      </w:r>
      <w:proofErr w:type="gramStart"/>
      <w:r w:rsidR="006B0B76" w:rsidRPr="00D52537">
        <w:rPr>
          <w:rFonts w:ascii="Calibri" w:eastAsia="標楷體" w:hAnsi="Calibri" w:cs="Calibri" w:hint="eastAsia"/>
          <w:b/>
          <w:i/>
          <w:sz w:val="32"/>
          <w:szCs w:val="32"/>
          <w:lang w:eastAsia="zh-TW"/>
        </w:rPr>
        <w:t>攸</w:t>
      </w:r>
      <w:proofErr w:type="gramEnd"/>
      <w:r w:rsidR="006B0B76" w:rsidRPr="00D52537">
        <w:rPr>
          <w:rFonts w:ascii="Calibri" w:eastAsia="標楷體" w:hAnsi="Calibri" w:cs="Calibri" w:hint="eastAsia"/>
          <w:b/>
          <w:i/>
          <w:sz w:val="32"/>
          <w:szCs w:val="32"/>
          <w:lang w:eastAsia="zh-TW"/>
        </w:rPr>
        <w:t>關活動</w:t>
      </w:r>
      <w:r w:rsidR="006B0B76" w:rsidRPr="00D52537">
        <w:rPr>
          <w:rFonts w:ascii="Calibri" w:eastAsia="標楷體" w:hAnsi="Calibri" w:cs="Calibri"/>
          <w:b/>
          <w:i/>
          <w:sz w:val="32"/>
          <w:szCs w:val="32"/>
          <w:lang w:eastAsia="zh-TW"/>
        </w:rPr>
        <w:t xml:space="preserve"> (“de facto power”)</w:t>
      </w:r>
    </w:p>
    <w:p w:rsidR="00E110C9"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Calibri"/>
          <w:kern w:val="0"/>
          <w:sz w:val="32"/>
          <w:szCs w:val="32"/>
          <w:lang w:val="en-GB"/>
        </w:rPr>
      </w:pPr>
      <w:r w:rsidRPr="00D52537">
        <w:rPr>
          <w:rFonts w:eastAsia="標楷體" w:cs="TTB7CF9C5CtCID-WinCharSetFFFF-H" w:hint="eastAsia"/>
          <w:color w:val="000000"/>
          <w:kern w:val="0"/>
          <w:sz w:val="32"/>
          <w:szCs w:val="32"/>
        </w:rPr>
        <w:t>即便投資者持有少於多數之表決權且未簽訂額外合約協議，投資者仍可能對被投資者具有權力，若其表決權賦予其</w:t>
      </w:r>
      <w:r w:rsidRPr="00D52537">
        <w:rPr>
          <w:rFonts w:ascii="新細明體" w:eastAsia="新細明體" w:hAnsi="新細明體" w:cs="TTB7CF9C5CtCID-WinCharSetFFFF-H" w:hint="eastAsia"/>
          <w:color w:val="000000"/>
          <w:kern w:val="0"/>
          <w:sz w:val="32"/>
          <w:szCs w:val="32"/>
        </w:rPr>
        <w:t>「</w:t>
      </w:r>
      <w:r w:rsidRPr="00D52537">
        <w:rPr>
          <w:rFonts w:eastAsia="標楷體" w:cs="TTB7CF9C5CtCID-WinCharSetFFFF-H" w:hint="eastAsia"/>
          <w:color w:val="000000"/>
          <w:kern w:val="0"/>
          <w:sz w:val="32"/>
          <w:szCs w:val="32"/>
        </w:rPr>
        <w:t>具有實際能力以片面主導</w:t>
      </w:r>
      <w:proofErr w:type="gramStart"/>
      <w:r w:rsidRPr="00D52537">
        <w:rPr>
          <w:rFonts w:eastAsia="標楷體" w:cs="TTB7CF9C5CtCID-WinCharSetFFFF-H" w:hint="eastAsia"/>
          <w:color w:val="000000"/>
          <w:kern w:val="0"/>
          <w:sz w:val="32"/>
          <w:szCs w:val="32"/>
        </w:rPr>
        <w:t>攸</w:t>
      </w:r>
      <w:proofErr w:type="gramEnd"/>
      <w:r w:rsidRPr="00D52537">
        <w:rPr>
          <w:rFonts w:eastAsia="標楷體" w:cs="TTB7CF9C5CtCID-WinCharSetFFFF-H" w:hint="eastAsia"/>
          <w:color w:val="000000"/>
          <w:kern w:val="0"/>
          <w:sz w:val="32"/>
          <w:szCs w:val="32"/>
        </w:rPr>
        <w:t>關活動</w:t>
      </w:r>
      <w:r w:rsidRPr="00D52537">
        <w:rPr>
          <w:rFonts w:ascii="標楷體" w:eastAsia="標楷體" w:hAnsi="標楷體" w:cs="TTB7CF9C5CtCID-WinCharSetFFFF-H" w:hint="eastAsia"/>
          <w:color w:val="000000"/>
          <w:kern w:val="0"/>
          <w:sz w:val="32"/>
          <w:szCs w:val="32"/>
        </w:rPr>
        <w:t>」</w:t>
      </w:r>
      <w:r w:rsidRPr="00D52537">
        <w:rPr>
          <w:rFonts w:eastAsia="標楷體" w:cs="TTB7CF9C5CtCID-WinCharSetFFFF-H" w:hint="eastAsia"/>
          <w:color w:val="000000"/>
          <w:kern w:val="0"/>
          <w:sz w:val="32"/>
          <w:szCs w:val="32"/>
        </w:rPr>
        <w:t>。</w:t>
      </w:r>
      <w:r w:rsidR="00E110C9" w:rsidRPr="00D52537">
        <w:rPr>
          <w:rFonts w:eastAsia="標楷體" w:cs="TTB7CF9C5CtCID-WinCharSetFFFF-H" w:hint="eastAsia"/>
          <w:color w:val="000000"/>
          <w:kern w:val="0"/>
          <w:sz w:val="32"/>
          <w:szCs w:val="32"/>
        </w:rPr>
        <w:t>此種</w:t>
      </w:r>
      <w:r w:rsidR="00E110C9" w:rsidRPr="00D52537">
        <w:rPr>
          <w:rFonts w:eastAsia="標楷體" w:cs="Calibri" w:hint="eastAsia"/>
          <w:kern w:val="0"/>
          <w:sz w:val="32"/>
          <w:szCs w:val="32"/>
          <w:lang w:val="en-GB"/>
        </w:rPr>
        <w:t>情況一般稱之</w:t>
      </w:r>
      <w:r w:rsidR="00E110C9" w:rsidRPr="00D52537">
        <w:rPr>
          <w:rFonts w:eastAsia="標楷體" w:cs="TTB7CF9C5CtCID-WinCharSetFFFF-H" w:hint="eastAsia"/>
          <w:color w:val="000000"/>
          <w:kern w:val="0"/>
          <w:sz w:val="32"/>
          <w:szCs w:val="32"/>
        </w:rPr>
        <w:t>為「實質</w:t>
      </w:r>
      <w:r w:rsidR="00C11B3C" w:rsidRPr="00D52537">
        <w:rPr>
          <w:rFonts w:eastAsia="標楷體" w:cs="TTB7CF9C5CtCID-WinCharSetFFFF-H" w:hint="eastAsia"/>
          <w:color w:val="000000"/>
          <w:kern w:val="0"/>
          <w:sz w:val="32"/>
          <w:szCs w:val="32"/>
        </w:rPr>
        <w:t>權力</w:t>
      </w:r>
      <w:r w:rsidR="00E110C9" w:rsidRPr="00D52537">
        <w:rPr>
          <w:rFonts w:eastAsia="標楷體" w:cs="Calibri" w:hint="eastAsia"/>
          <w:kern w:val="0"/>
          <w:sz w:val="32"/>
          <w:szCs w:val="32"/>
          <w:lang w:val="en-GB"/>
        </w:rPr>
        <w:t>」</w:t>
      </w:r>
      <w:r w:rsidR="00E110C9" w:rsidRPr="00D52537">
        <w:rPr>
          <w:rFonts w:eastAsia="標楷體" w:cs="Calibri"/>
          <w:kern w:val="0"/>
          <w:sz w:val="32"/>
          <w:szCs w:val="32"/>
          <w:lang w:val="en-GB"/>
        </w:rPr>
        <w:t>(</w:t>
      </w:r>
      <w:r w:rsidR="00E110C9" w:rsidRPr="00D52537">
        <w:rPr>
          <w:rFonts w:eastAsia="標楷體" w:cs="Calibri"/>
          <w:i/>
          <w:kern w:val="0"/>
          <w:sz w:val="32"/>
          <w:szCs w:val="32"/>
          <w:lang w:val="en-GB"/>
        </w:rPr>
        <w:t>de facto</w:t>
      </w:r>
      <w:r w:rsidR="00E110C9" w:rsidRPr="00D52537">
        <w:rPr>
          <w:rFonts w:eastAsia="標楷體" w:cs="Calibri"/>
          <w:kern w:val="0"/>
          <w:sz w:val="32"/>
          <w:szCs w:val="32"/>
          <w:lang w:val="en-GB"/>
        </w:rPr>
        <w:t xml:space="preserve"> </w:t>
      </w:r>
      <w:r w:rsidR="00C11B3C" w:rsidRPr="00D52537">
        <w:rPr>
          <w:rFonts w:eastAsia="標楷體" w:cs="Calibri" w:hint="eastAsia"/>
          <w:kern w:val="0"/>
          <w:sz w:val="32"/>
          <w:szCs w:val="32"/>
          <w:lang w:val="en-GB"/>
        </w:rPr>
        <w:t>power</w:t>
      </w:r>
      <w:r w:rsidR="00E110C9" w:rsidRPr="00D52537">
        <w:rPr>
          <w:rFonts w:eastAsia="標楷體" w:cs="Calibri"/>
          <w:kern w:val="0"/>
          <w:sz w:val="32"/>
          <w:szCs w:val="32"/>
          <w:lang w:val="en-GB"/>
        </w:rPr>
        <w:t>)</w:t>
      </w:r>
      <w:r w:rsidR="00E110C9" w:rsidRPr="00D52537">
        <w:rPr>
          <w:rFonts w:eastAsia="標楷體" w:cs="Calibri" w:hint="eastAsia"/>
          <w:kern w:val="0"/>
          <w:sz w:val="32"/>
          <w:szCs w:val="32"/>
          <w:lang w:val="en-GB"/>
        </w:rPr>
        <w:t>。</w:t>
      </w:r>
    </w:p>
    <w:p w:rsidR="00235A73" w:rsidRPr="00D52537" w:rsidRDefault="006B0B76" w:rsidP="00D52537">
      <w:pPr>
        <w:autoSpaceDE w:val="0"/>
        <w:autoSpaceDN w:val="0"/>
        <w:adjustRightInd w:val="0"/>
        <w:spacing w:before="100" w:beforeAutospacing="1" w:after="100" w:afterAutospacing="1" w:line="400" w:lineRule="exact"/>
        <w:ind w:firstLineChars="200" w:firstLine="640"/>
        <w:rPr>
          <w:rFonts w:eastAsia="標楷體" w:cs="Calibri"/>
          <w:kern w:val="0"/>
          <w:sz w:val="32"/>
          <w:szCs w:val="32"/>
          <w:lang w:val="en-GB"/>
        </w:rPr>
      </w:pPr>
      <w:r w:rsidRPr="00D52537">
        <w:rPr>
          <w:rFonts w:eastAsia="標楷體" w:cs="TimesNewRoman" w:hint="eastAsia"/>
          <w:color w:val="000000"/>
          <w:kern w:val="0"/>
          <w:sz w:val="32"/>
          <w:szCs w:val="32"/>
        </w:rPr>
        <w:t>對於如何判定未持有多數表決權之投資者是否對被投資者具</w:t>
      </w:r>
      <w:r w:rsidR="00C11B3C" w:rsidRPr="00D52537">
        <w:rPr>
          <w:rFonts w:eastAsia="標楷體" w:cs="TTB7CF9C5CtCID-WinCharSetFFFF-H" w:hint="eastAsia"/>
          <w:color w:val="000000"/>
          <w:kern w:val="0"/>
          <w:sz w:val="32"/>
          <w:szCs w:val="32"/>
        </w:rPr>
        <w:t>實質權力</w:t>
      </w:r>
      <w:r w:rsidRPr="00D52537">
        <w:rPr>
          <w:rFonts w:eastAsia="標楷體" w:cs="Calibri" w:hint="eastAsia"/>
          <w:kern w:val="0"/>
          <w:sz w:val="32"/>
          <w:szCs w:val="32"/>
          <w:lang w:val="en-GB"/>
        </w:rPr>
        <w:t>，</w:t>
      </w:r>
      <w:r w:rsidRPr="00D52537">
        <w:rPr>
          <w:rFonts w:eastAsia="標楷體" w:cs="TimesNewRoman"/>
          <w:color w:val="000000"/>
          <w:kern w:val="0"/>
          <w:sz w:val="32"/>
          <w:szCs w:val="32"/>
        </w:rPr>
        <w:t>IFRS 10</w:t>
      </w:r>
      <w:r w:rsidRPr="00D52537">
        <w:rPr>
          <w:rFonts w:eastAsia="標楷體" w:cs="Calibri" w:hint="eastAsia"/>
          <w:kern w:val="0"/>
          <w:sz w:val="32"/>
          <w:szCs w:val="32"/>
          <w:lang w:val="en-GB"/>
        </w:rPr>
        <w:t>列有特定指引。進行此判定時，投資者應考量所有</w:t>
      </w:r>
      <w:proofErr w:type="gramStart"/>
      <w:r w:rsidRPr="00D52537">
        <w:rPr>
          <w:rFonts w:eastAsia="標楷體" w:cs="Calibri" w:hint="eastAsia"/>
          <w:kern w:val="0"/>
          <w:sz w:val="32"/>
          <w:szCs w:val="32"/>
          <w:lang w:val="en-GB"/>
        </w:rPr>
        <w:t>攸</w:t>
      </w:r>
      <w:proofErr w:type="gramEnd"/>
      <w:r w:rsidRPr="00D52537">
        <w:rPr>
          <w:rFonts w:eastAsia="標楷體" w:cs="Calibri" w:hint="eastAsia"/>
          <w:kern w:val="0"/>
          <w:sz w:val="32"/>
          <w:szCs w:val="32"/>
          <w:lang w:val="en-GB"/>
        </w:rPr>
        <w:t>關事實</w:t>
      </w:r>
      <w:r w:rsidRPr="00D52537">
        <w:rPr>
          <w:rFonts w:eastAsia="標楷體" w:cs="TTB7CF9C5CtCID-WinCharSetFFFF-H" w:hint="eastAsia"/>
          <w:color w:val="000000"/>
          <w:kern w:val="0"/>
          <w:sz w:val="32"/>
          <w:szCs w:val="32"/>
        </w:rPr>
        <w:t>及</w:t>
      </w:r>
      <w:r w:rsidRPr="00D52537">
        <w:rPr>
          <w:rFonts w:eastAsia="標楷體" w:cs="Calibri" w:hint="eastAsia"/>
          <w:kern w:val="0"/>
          <w:sz w:val="32"/>
          <w:szCs w:val="32"/>
          <w:lang w:val="en-GB"/>
        </w:rPr>
        <w:t>情況。</w:t>
      </w:r>
    </w:p>
    <w:p w:rsidR="006B0B76" w:rsidRDefault="006B0B76" w:rsidP="00D52537">
      <w:pPr>
        <w:autoSpaceDE w:val="0"/>
        <w:autoSpaceDN w:val="0"/>
        <w:adjustRightInd w:val="0"/>
        <w:spacing w:before="100" w:beforeAutospacing="1" w:after="100" w:afterAutospacing="1" w:line="400" w:lineRule="exact"/>
        <w:rPr>
          <w:rFonts w:eastAsia="標楷體" w:cs="TimesNewRoman"/>
          <w:color w:val="000000"/>
          <w:kern w:val="0"/>
          <w:sz w:val="22"/>
        </w:rPr>
      </w:pPr>
      <w:r w:rsidRPr="00D52537">
        <w:rPr>
          <w:rFonts w:eastAsia="標楷體" w:cs="Calibri"/>
          <w:kern w:val="0"/>
          <w:sz w:val="32"/>
          <w:szCs w:val="32"/>
          <w:lang w:val="en-GB"/>
        </w:rPr>
        <w:t>IFRS 10</w:t>
      </w:r>
      <w:r w:rsidRPr="00D52537">
        <w:rPr>
          <w:rFonts w:eastAsia="標楷體" w:cs="TimesNewRoman" w:hint="eastAsia"/>
          <w:color w:val="000000"/>
          <w:kern w:val="0"/>
          <w:sz w:val="32"/>
          <w:szCs w:val="32"/>
        </w:rPr>
        <w:t>採取兩步驟法</w:t>
      </w:r>
      <w:r w:rsidR="00235A73" w:rsidRPr="00D52537">
        <w:rPr>
          <w:rFonts w:ascii="新細明體" w:eastAsia="新細明體" w:hAnsi="新細明體" w:cs="TimesNewRoman" w:hint="eastAsia"/>
          <w:color w:val="000000"/>
          <w:kern w:val="0"/>
          <w:sz w:val="32"/>
          <w:szCs w:val="32"/>
        </w:rPr>
        <w:t>：</w:t>
      </w:r>
    </w:p>
    <w:p w:rsidR="006B0B76" w:rsidRDefault="008601F8" w:rsidP="00D52537">
      <w:pPr>
        <w:autoSpaceDE w:val="0"/>
        <w:autoSpaceDN w:val="0"/>
        <w:adjustRightInd w:val="0"/>
        <w:spacing w:before="100" w:beforeAutospacing="1" w:after="100" w:afterAutospacing="1"/>
        <w:rPr>
          <w:rFonts w:eastAsia="標楷體" w:cs="TTB7CF9C5CtCID-WinCharSetFFFF-H"/>
          <w:color w:val="000000"/>
          <w:kern w:val="0"/>
          <w:sz w:val="22"/>
        </w:rPr>
      </w:pPr>
      <w:r>
        <w:rPr>
          <w:noProof/>
        </w:rPr>
        <w:drawing>
          <wp:inline distT="0" distB="0" distL="0" distR="0">
            <wp:extent cx="5277436" cy="3193366"/>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80923" cy="3195476"/>
                    </a:xfrm>
                    <a:prstGeom prst="rect">
                      <a:avLst/>
                    </a:prstGeom>
                    <a:ln>
                      <a:noFill/>
                    </a:ln>
                  </pic:spPr>
                </pic:pic>
              </a:graphicData>
            </a:graphic>
          </wp:inline>
        </w:drawing>
      </w:r>
    </w:p>
    <w:p w:rsidR="00B6002B" w:rsidRPr="0055564D" w:rsidRDefault="00DA1DF5" w:rsidP="0055564D">
      <w:pPr>
        <w:widowControl/>
        <w:spacing w:before="100" w:beforeAutospacing="1" w:after="100" w:afterAutospacing="1" w:line="400" w:lineRule="exact"/>
        <w:jc w:val="both"/>
        <w:rPr>
          <w:rFonts w:eastAsia="標楷體" w:cs="TTB7CF9C5CtCID-WinCharSetFFFF-H"/>
          <w:color w:val="000000"/>
          <w:kern w:val="0"/>
          <w:sz w:val="32"/>
          <w:szCs w:val="32"/>
        </w:rPr>
      </w:pPr>
      <w:r w:rsidRPr="0055564D">
        <w:rPr>
          <w:rFonts w:eastAsia="標楷體" w:cs="TTB7CF9C5CtCID-WinCharSetFFFF-H" w:hint="eastAsia"/>
          <w:color w:val="000000"/>
          <w:kern w:val="0"/>
          <w:sz w:val="32"/>
          <w:szCs w:val="32"/>
        </w:rPr>
        <w:lastRenderedPageBreak/>
        <w:t>若考量優先因素就可以</w:t>
      </w:r>
      <w:r w:rsidR="004D3918" w:rsidRPr="0055564D">
        <w:rPr>
          <w:rFonts w:eastAsia="標楷體" w:cs="TTB7CF9C5CtCID-WinCharSetFFFF-H" w:hint="eastAsia"/>
          <w:color w:val="000000"/>
          <w:kern w:val="0"/>
          <w:sz w:val="32"/>
          <w:szCs w:val="32"/>
        </w:rPr>
        <w:t>判斷出是</w:t>
      </w:r>
      <w:r w:rsidRPr="0055564D">
        <w:rPr>
          <w:rFonts w:eastAsia="標楷體" w:cs="TTB7CF9C5CtCID-WinCharSetFFFF-H" w:hint="eastAsia"/>
          <w:color w:val="000000"/>
          <w:kern w:val="0"/>
          <w:sz w:val="32"/>
          <w:szCs w:val="32"/>
        </w:rPr>
        <w:t>否具有實質權力，就無需再評估次要因素考量因素。</w:t>
      </w:r>
    </w:p>
    <w:p w:rsidR="006B0B76" w:rsidRPr="0055564D" w:rsidRDefault="006B0B76" w:rsidP="0055564D">
      <w:pPr>
        <w:widowControl/>
        <w:spacing w:before="100" w:beforeAutospacing="1" w:after="100" w:afterAutospacing="1" w:line="400" w:lineRule="exact"/>
        <w:jc w:val="both"/>
        <w:rPr>
          <w:rFonts w:eastAsia="標楷體" w:cs="TTB7CF9C5CtCID-WinCharSetFFFF-H"/>
          <w:color w:val="000000"/>
          <w:kern w:val="0"/>
          <w:sz w:val="32"/>
          <w:szCs w:val="32"/>
        </w:rPr>
      </w:pPr>
      <w:r w:rsidRPr="0055564D">
        <w:rPr>
          <w:rFonts w:eastAsia="標楷體" w:cs="TTB7CF9C5CtCID-WinCharSetFFFF-H" w:hint="eastAsia"/>
          <w:color w:val="000000"/>
          <w:kern w:val="0"/>
          <w:sz w:val="32"/>
          <w:szCs w:val="32"/>
        </w:rPr>
        <w:t>對被投資者</w:t>
      </w:r>
      <w:r w:rsidR="008A3D1E" w:rsidRPr="0055564D">
        <w:rPr>
          <w:rFonts w:eastAsia="標楷體" w:cs="TTB7CF9C5CtCID-WinCharSetFFFF-H" w:hint="eastAsia"/>
          <w:color w:val="000000"/>
          <w:kern w:val="0"/>
          <w:sz w:val="32"/>
          <w:szCs w:val="32"/>
        </w:rPr>
        <w:t>是否具</w:t>
      </w:r>
      <w:r w:rsidRPr="0055564D">
        <w:rPr>
          <w:rFonts w:eastAsia="標楷體" w:cs="TTB7CF9C5CtCID-WinCharSetFFFF-H" w:hint="eastAsia"/>
          <w:color w:val="000000"/>
          <w:kern w:val="0"/>
          <w:sz w:val="32"/>
          <w:szCs w:val="32"/>
        </w:rPr>
        <w:t>實質權力之評估</w:t>
      </w:r>
      <w:r w:rsidR="008A3D1E" w:rsidRPr="0055564D">
        <w:rPr>
          <w:rFonts w:eastAsia="標楷體" w:cs="TTB7CF9C5CtCID-WinCharSetFFFF-H" w:hint="eastAsia"/>
          <w:color w:val="000000"/>
          <w:kern w:val="0"/>
          <w:sz w:val="32"/>
          <w:szCs w:val="32"/>
        </w:rPr>
        <w:t>，舉例如下</w:t>
      </w:r>
      <w:r w:rsidRPr="0055564D">
        <w:rPr>
          <w:rFonts w:eastAsia="標楷體" w:cs="TTB7CF9C5CtCID-WinCharSetFFFF-H" w:hint="eastAsia"/>
          <w:color w:val="000000"/>
          <w:kern w:val="0"/>
          <w:sz w:val="32"/>
          <w:szCs w:val="32"/>
        </w:rPr>
        <w:t>。</w:t>
      </w:r>
    </w:p>
    <w:p w:rsidR="008A3D1E" w:rsidRPr="00D52537" w:rsidRDefault="008A3D1E" w:rsidP="00D52537">
      <w:pPr>
        <w:pStyle w:val="a4"/>
        <w:numPr>
          <w:ilvl w:val="0"/>
          <w:numId w:val="26"/>
        </w:numPr>
        <w:autoSpaceDE w:val="0"/>
        <w:autoSpaceDN w:val="0"/>
        <w:adjustRightInd w:val="0"/>
        <w:spacing w:before="100" w:beforeAutospacing="1" w:after="100" w:afterAutospacing="1" w:line="400" w:lineRule="exact"/>
        <w:ind w:leftChars="0" w:left="482" w:hanging="482"/>
        <w:rPr>
          <w:rFonts w:eastAsia="標楷體" w:cs="TTB7CF9C5CtCID-WinCharSetFFFF-H"/>
          <w:b/>
          <w:color w:val="000000"/>
          <w:kern w:val="0"/>
          <w:sz w:val="32"/>
          <w:szCs w:val="32"/>
        </w:rPr>
      </w:pPr>
      <w:proofErr w:type="gramStart"/>
      <w:r w:rsidRPr="00D52537">
        <w:rPr>
          <w:rFonts w:eastAsia="標楷體" w:cs="TTB7CF9C5CtCID-WinCharSetFFFF-H" w:hint="eastAsia"/>
          <w:b/>
          <w:color w:val="000000"/>
          <w:kern w:val="0"/>
          <w:sz w:val="32"/>
          <w:szCs w:val="32"/>
        </w:rPr>
        <w:t>釋例</w:t>
      </w:r>
      <w:proofErr w:type="gramEnd"/>
      <w:r w:rsidRPr="00D52537">
        <w:rPr>
          <w:rFonts w:eastAsia="標楷體" w:cs="TTB7CF9C5CtCID-WinCharSetFFFF-H" w:hint="eastAsia"/>
          <w:b/>
          <w:color w:val="000000"/>
          <w:kern w:val="0"/>
          <w:sz w:val="32"/>
          <w:szCs w:val="32"/>
        </w:rPr>
        <w:t>A</w:t>
      </w:r>
      <w:r w:rsidR="00DA1DF5" w:rsidRPr="00D52537">
        <w:rPr>
          <w:rFonts w:eastAsia="標楷體" w:cs="TTB7CF9C5CtCID-WinCharSetFFFF-H" w:hint="eastAsia"/>
          <w:b/>
          <w:color w:val="000000"/>
          <w:kern w:val="0"/>
          <w:sz w:val="32"/>
          <w:szCs w:val="32"/>
        </w:rPr>
        <w:t>：</w:t>
      </w:r>
      <w:r w:rsidRPr="00D52537">
        <w:rPr>
          <w:rFonts w:eastAsia="標楷體" w:cs="TTB7CF9C5CtCID-WinCharSetFFFF-H" w:hint="eastAsia"/>
          <w:b/>
          <w:color w:val="000000"/>
          <w:kern w:val="0"/>
          <w:sz w:val="32"/>
          <w:szCs w:val="32"/>
        </w:rPr>
        <w:t>僅需要步驟</w:t>
      </w:r>
      <w:proofErr w:type="gramStart"/>
      <w:r w:rsidRPr="00D52537">
        <w:rPr>
          <w:rFonts w:eastAsia="標楷體" w:cs="TTB7CF9C5CtCID-WinCharSetFFFF-H" w:hint="eastAsia"/>
          <w:b/>
          <w:color w:val="000000"/>
          <w:kern w:val="0"/>
          <w:sz w:val="32"/>
          <w:szCs w:val="32"/>
        </w:rPr>
        <w:t>一</w:t>
      </w:r>
      <w:proofErr w:type="gramEnd"/>
    </w:p>
    <w:p w:rsidR="008A3D1E" w:rsidRDefault="008A3D1E" w:rsidP="00D52537">
      <w:pPr>
        <w:widowControl/>
        <w:spacing w:before="100" w:beforeAutospacing="1" w:after="100" w:afterAutospacing="1"/>
        <w:jc w:val="both"/>
        <w:rPr>
          <w:rFonts w:eastAsia="標楷體" w:cs="TTB7CF9C5CtCID-WinCharSetFFFF-H"/>
          <w:color w:val="000000"/>
          <w:kern w:val="0"/>
          <w:sz w:val="22"/>
        </w:rPr>
      </w:pPr>
      <w:r>
        <w:rPr>
          <w:noProof/>
        </w:rPr>
        <w:drawing>
          <wp:inline distT="0" distB="0" distL="0" distR="0">
            <wp:extent cx="4719600" cy="3052800"/>
            <wp:effectExtent l="19050" t="19050" r="24130" b="1460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719600" cy="3052800"/>
                    </a:xfrm>
                    <a:prstGeom prst="rect">
                      <a:avLst/>
                    </a:prstGeom>
                    <a:ln>
                      <a:solidFill>
                        <a:schemeClr val="accent1"/>
                      </a:solidFill>
                    </a:ln>
                  </pic:spPr>
                </pic:pic>
              </a:graphicData>
            </a:graphic>
          </wp:inline>
        </w:drawing>
      </w:r>
    </w:p>
    <w:p w:rsidR="008A3D1E" w:rsidRPr="00D52537" w:rsidRDefault="00DA1DF5" w:rsidP="00D52537">
      <w:pPr>
        <w:pStyle w:val="a4"/>
        <w:numPr>
          <w:ilvl w:val="0"/>
          <w:numId w:val="26"/>
        </w:numPr>
        <w:autoSpaceDE w:val="0"/>
        <w:autoSpaceDN w:val="0"/>
        <w:adjustRightInd w:val="0"/>
        <w:spacing w:before="100" w:beforeAutospacing="1" w:after="100" w:afterAutospacing="1"/>
        <w:ind w:leftChars="0"/>
        <w:rPr>
          <w:rFonts w:eastAsia="標楷體" w:cs="TTB7CF9C5CtCID-WinCharSetFFFF-H"/>
          <w:b/>
          <w:color w:val="000000"/>
          <w:kern w:val="0"/>
          <w:sz w:val="32"/>
          <w:szCs w:val="32"/>
        </w:rPr>
      </w:pPr>
      <w:proofErr w:type="gramStart"/>
      <w:r w:rsidRPr="00D52537">
        <w:rPr>
          <w:rFonts w:eastAsia="標楷體" w:cs="TTB7CF9C5CtCID-WinCharSetFFFF-H" w:hint="eastAsia"/>
          <w:b/>
          <w:color w:val="000000"/>
          <w:kern w:val="0"/>
          <w:sz w:val="32"/>
          <w:szCs w:val="32"/>
        </w:rPr>
        <w:t>釋例</w:t>
      </w:r>
      <w:proofErr w:type="gramEnd"/>
      <w:r w:rsidRPr="00D52537">
        <w:rPr>
          <w:rFonts w:eastAsia="標楷體" w:cs="TTB7CF9C5CtCID-WinCharSetFFFF-H" w:hint="eastAsia"/>
          <w:b/>
          <w:color w:val="000000"/>
          <w:kern w:val="0"/>
          <w:sz w:val="32"/>
          <w:szCs w:val="32"/>
        </w:rPr>
        <w:t>B</w:t>
      </w:r>
      <w:r w:rsidRPr="00D52537">
        <w:rPr>
          <w:rFonts w:eastAsia="標楷體" w:cs="TTB7CF9C5CtCID-WinCharSetFFFF-H" w:hint="eastAsia"/>
          <w:b/>
          <w:color w:val="000000"/>
          <w:kern w:val="0"/>
          <w:sz w:val="32"/>
          <w:szCs w:val="32"/>
        </w:rPr>
        <w:t>：</w:t>
      </w:r>
      <w:r w:rsidR="008A3D1E" w:rsidRPr="00D52537">
        <w:rPr>
          <w:rFonts w:eastAsia="標楷體" w:cs="TTB7CF9C5CtCID-WinCharSetFFFF-H" w:hint="eastAsia"/>
          <w:b/>
          <w:color w:val="000000"/>
          <w:kern w:val="0"/>
          <w:sz w:val="32"/>
          <w:szCs w:val="32"/>
        </w:rPr>
        <w:t>僅需要步驟</w:t>
      </w:r>
      <w:proofErr w:type="gramStart"/>
      <w:r w:rsidR="008A3D1E" w:rsidRPr="00D52537">
        <w:rPr>
          <w:rFonts w:eastAsia="標楷體" w:cs="TTB7CF9C5CtCID-WinCharSetFFFF-H" w:hint="eastAsia"/>
          <w:b/>
          <w:color w:val="000000"/>
          <w:kern w:val="0"/>
          <w:sz w:val="32"/>
          <w:szCs w:val="32"/>
        </w:rPr>
        <w:t>一</w:t>
      </w:r>
      <w:proofErr w:type="gramEnd"/>
    </w:p>
    <w:p w:rsidR="008A3D1E" w:rsidRDefault="008A3D1E" w:rsidP="00D52537">
      <w:pPr>
        <w:widowControl/>
        <w:spacing w:before="100" w:beforeAutospacing="1" w:after="100" w:afterAutospacing="1"/>
        <w:jc w:val="both"/>
        <w:rPr>
          <w:rFonts w:eastAsia="標楷體" w:cs="TTB7CF9C5CtCID-WinCharSetFFFF-H"/>
          <w:color w:val="000000"/>
          <w:kern w:val="0"/>
          <w:sz w:val="22"/>
        </w:rPr>
      </w:pPr>
      <w:r>
        <w:rPr>
          <w:noProof/>
        </w:rPr>
        <w:drawing>
          <wp:inline distT="0" distB="0" distL="0" distR="0">
            <wp:extent cx="4665600" cy="2970000"/>
            <wp:effectExtent l="19050" t="19050" r="20955" b="209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665600" cy="2970000"/>
                    </a:xfrm>
                    <a:prstGeom prst="rect">
                      <a:avLst/>
                    </a:prstGeom>
                    <a:ln>
                      <a:solidFill>
                        <a:schemeClr val="accent1"/>
                      </a:solidFill>
                    </a:ln>
                  </pic:spPr>
                </pic:pic>
              </a:graphicData>
            </a:graphic>
          </wp:inline>
        </w:drawing>
      </w:r>
    </w:p>
    <w:p w:rsidR="00DA1DF5" w:rsidRPr="00D52537" w:rsidRDefault="00DA1DF5" w:rsidP="00D52537">
      <w:pPr>
        <w:pStyle w:val="a4"/>
        <w:numPr>
          <w:ilvl w:val="0"/>
          <w:numId w:val="26"/>
        </w:numPr>
        <w:autoSpaceDE w:val="0"/>
        <w:autoSpaceDN w:val="0"/>
        <w:adjustRightInd w:val="0"/>
        <w:spacing w:before="100" w:beforeAutospacing="1" w:after="100" w:afterAutospacing="1"/>
        <w:ind w:leftChars="0"/>
        <w:rPr>
          <w:rFonts w:eastAsia="標楷體" w:cs="TTB7CF9C5CtCID-WinCharSetFFFF-H"/>
          <w:b/>
          <w:color w:val="000000"/>
          <w:kern w:val="0"/>
          <w:sz w:val="32"/>
          <w:szCs w:val="32"/>
        </w:rPr>
      </w:pPr>
      <w:proofErr w:type="gramStart"/>
      <w:r w:rsidRPr="00D52537">
        <w:rPr>
          <w:rFonts w:eastAsia="標楷體" w:cs="TTB7CF9C5CtCID-WinCharSetFFFF-H" w:hint="eastAsia"/>
          <w:b/>
          <w:color w:val="000000"/>
          <w:kern w:val="0"/>
          <w:sz w:val="32"/>
          <w:szCs w:val="32"/>
        </w:rPr>
        <w:lastRenderedPageBreak/>
        <w:t>釋例</w:t>
      </w:r>
      <w:proofErr w:type="gramEnd"/>
      <w:r w:rsidRPr="00D52537">
        <w:rPr>
          <w:rFonts w:eastAsia="標楷體" w:cs="TTB7CF9C5CtCID-WinCharSetFFFF-H" w:hint="eastAsia"/>
          <w:b/>
          <w:color w:val="000000"/>
          <w:kern w:val="0"/>
          <w:sz w:val="32"/>
          <w:szCs w:val="32"/>
        </w:rPr>
        <w:t>C</w:t>
      </w:r>
      <w:r w:rsidRPr="00D52537">
        <w:rPr>
          <w:rFonts w:eastAsia="標楷體" w:cs="TTB7CF9C5CtCID-WinCharSetFFFF-H" w:hint="eastAsia"/>
          <w:b/>
          <w:color w:val="000000"/>
          <w:kern w:val="0"/>
          <w:sz w:val="32"/>
          <w:szCs w:val="32"/>
        </w:rPr>
        <w:t>：僅需要步驟</w:t>
      </w:r>
      <w:proofErr w:type="gramStart"/>
      <w:r w:rsidRPr="00D52537">
        <w:rPr>
          <w:rFonts w:eastAsia="標楷體" w:cs="TTB7CF9C5CtCID-WinCharSetFFFF-H" w:hint="eastAsia"/>
          <w:b/>
          <w:color w:val="000000"/>
          <w:kern w:val="0"/>
          <w:sz w:val="32"/>
          <w:szCs w:val="32"/>
        </w:rPr>
        <w:t>一</w:t>
      </w:r>
      <w:proofErr w:type="gramEnd"/>
    </w:p>
    <w:p w:rsidR="008A3D1E" w:rsidRDefault="008A3D1E" w:rsidP="00D52537">
      <w:pPr>
        <w:widowControl/>
        <w:spacing w:before="100" w:beforeAutospacing="1" w:after="100" w:afterAutospacing="1"/>
        <w:jc w:val="both"/>
        <w:rPr>
          <w:rFonts w:eastAsia="標楷體" w:cs="TTB7CF9C5CtCID-WinCharSetFFFF-H"/>
          <w:color w:val="000000"/>
          <w:kern w:val="0"/>
          <w:sz w:val="22"/>
        </w:rPr>
      </w:pPr>
      <w:r>
        <w:rPr>
          <w:noProof/>
        </w:rPr>
        <w:drawing>
          <wp:inline distT="0" distB="0" distL="0" distR="0">
            <wp:extent cx="4734000" cy="3038400"/>
            <wp:effectExtent l="19050" t="19050" r="9525" b="1016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734000" cy="3038400"/>
                    </a:xfrm>
                    <a:prstGeom prst="rect">
                      <a:avLst/>
                    </a:prstGeom>
                    <a:ln>
                      <a:solidFill>
                        <a:schemeClr val="accent1"/>
                      </a:solidFill>
                    </a:ln>
                  </pic:spPr>
                </pic:pic>
              </a:graphicData>
            </a:graphic>
          </wp:inline>
        </w:drawing>
      </w:r>
    </w:p>
    <w:p w:rsidR="008A3D1E" w:rsidRPr="00D52537" w:rsidRDefault="00DA1DF5" w:rsidP="00D52537">
      <w:pPr>
        <w:pStyle w:val="a4"/>
        <w:numPr>
          <w:ilvl w:val="0"/>
          <w:numId w:val="26"/>
        </w:numPr>
        <w:autoSpaceDE w:val="0"/>
        <w:autoSpaceDN w:val="0"/>
        <w:adjustRightInd w:val="0"/>
        <w:spacing w:before="100" w:beforeAutospacing="1" w:after="100" w:afterAutospacing="1"/>
        <w:ind w:leftChars="0"/>
        <w:rPr>
          <w:rFonts w:eastAsia="標楷體" w:cs="TTB7CF9C5CtCID-WinCharSetFFFF-H"/>
          <w:b/>
          <w:color w:val="000000"/>
          <w:kern w:val="0"/>
          <w:sz w:val="32"/>
          <w:szCs w:val="32"/>
        </w:rPr>
      </w:pPr>
      <w:proofErr w:type="gramStart"/>
      <w:r w:rsidRPr="00D52537">
        <w:rPr>
          <w:rFonts w:eastAsia="標楷體" w:cs="TTB7CF9C5CtCID-WinCharSetFFFF-H" w:hint="eastAsia"/>
          <w:b/>
          <w:color w:val="000000"/>
          <w:kern w:val="0"/>
          <w:sz w:val="32"/>
          <w:szCs w:val="32"/>
        </w:rPr>
        <w:t>釋例</w:t>
      </w:r>
      <w:proofErr w:type="gramEnd"/>
      <w:r w:rsidRPr="00D52537">
        <w:rPr>
          <w:rFonts w:eastAsia="標楷體" w:cs="TTB7CF9C5CtCID-WinCharSetFFFF-H" w:hint="eastAsia"/>
          <w:b/>
          <w:color w:val="000000"/>
          <w:kern w:val="0"/>
          <w:sz w:val="32"/>
          <w:szCs w:val="32"/>
        </w:rPr>
        <w:t>D</w:t>
      </w:r>
      <w:r w:rsidRPr="00D52537">
        <w:rPr>
          <w:rFonts w:eastAsia="標楷體" w:cs="TTB7CF9C5CtCID-WinCharSetFFFF-H" w:hint="eastAsia"/>
          <w:b/>
          <w:color w:val="000000"/>
          <w:kern w:val="0"/>
          <w:sz w:val="32"/>
          <w:szCs w:val="32"/>
        </w:rPr>
        <w:t>：</w:t>
      </w:r>
      <w:r w:rsidR="008A3D1E" w:rsidRPr="00D52537">
        <w:rPr>
          <w:rFonts w:eastAsia="標楷體" w:cs="TTB7CF9C5CtCID-WinCharSetFFFF-H" w:hint="eastAsia"/>
          <w:b/>
          <w:color w:val="000000"/>
          <w:kern w:val="0"/>
          <w:sz w:val="32"/>
          <w:szCs w:val="32"/>
        </w:rPr>
        <w:t>需要步驟</w:t>
      </w:r>
      <w:proofErr w:type="gramStart"/>
      <w:r w:rsidR="008A3D1E" w:rsidRPr="00D52537">
        <w:rPr>
          <w:rFonts w:eastAsia="標楷體" w:cs="TTB7CF9C5CtCID-WinCharSetFFFF-H" w:hint="eastAsia"/>
          <w:b/>
          <w:color w:val="000000"/>
          <w:kern w:val="0"/>
          <w:sz w:val="32"/>
          <w:szCs w:val="32"/>
        </w:rPr>
        <w:t>一</w:t>
      </w:r>
      <w:proofErr w:type="gramEnd"/>
      <w:r w:rsidR="008A3D1E" w:rsidRPr="00D52537">
        <w:rPr>
          <w:rFonts w:eastAsia="標楷體" w:cs="TTB7CF9C5CtCID-WinCharSetFFFF-H" w:hint="eastAsia"/>
          <w:b/>
          <w:color w:val="000000"/>
          <w:kern w:val="0"/>
          <w:sz w:val="32"/>
          <w:szCs w:val="32"/>
        </w:rPr>
        <w:t>及二</w:t>
      </w:r>
    </w:p>
    <w:p w:rsidR="008A3D1E" w:rsidRDefault="008A3D1E" w:rsidP="00D52537">
      <w:pPr>
        <w:widowControl/>
        <w:spacing w:before="100" w:beforeAutospacing="1" w:after="100" w:afterAutospacing="1"/>
        <w:jc w:val="both"/>
        <w:rPr>
          <w:rFonts w:eastAsia="標楷體" w:cs="TTB7CF9C5CtCID-WinCharSetFFFF-H"/>
          <w:color w:val="000000"/>
          <w:kern w:val="0"/>
          <w:sz w:val="22"/>
        </w:rPr>
      </w:pPr>
      <w:r>
        <w:rPr>
          <w:noProof/>
        </w:rPr>
        <w:drawing>
          <wp:inline distT="0" distB="0" distL="0" distR="0">
            <wp:extent cx="4694400" cy="2923200"/>
            <wp:effectExtent l="19050" t="19050" r="11430" b="1079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694400" cy="2923200"/>
                    </a:xfrm>
                    <a:prstGeom prst="rect">
                      <a:avLst/>
                    </a:prstGeom>
                    <a:ln>
                      <a:solidFill>
                        <a:schemeClr val="accent1"/>
                      </a:solidFill>
                    </a:ln>
                  </pic:spPr>
                </pic:pic>
              </a:graphicData>
            </a:graphic>
          </wp:inline>
        </w:drawing>
      </w:r>
    </w:p>
    <w:p w:rsidR="006B0B76" w:rsidRPr="00D52537" w:rsidRDefault="00DC5577" w:rsidP="00D52537">
      <w:pPr>
        <w:pStyle w:val="abgheadd"/>
        <w:spacing w:before="100" w:beforeAutospacing="1" w:after="100" w:afterAutospacing="1" w:line="400" w:lineRule="exact"/>
        <w:jc w:val="both"/>
        <w:rPr>
          <w:rFonts w:ascii="標楷體" w:eastAsia="標楷體" w:hAnsi="標楷體" w:cs="Calibri"/>
          <w:b/>
          <w:i/>
          <w:sz w:val="32"/>
          <w:szCs w:val="32"/>
          <w:lang w:eastAsia="zh-TW"/>
        </w:rPr>
      </w:pPr>
      <w:r w:rsidRPr="00D52537">
        <w:rPr>
          <w:rFonts w:ascii="標楷體" w:eastAsia="標楷體" w:hAnsi="標楷體" w:cs="Calibri" w:hint="eastAsia"/>
          <w:b/>
          <w:i/>
          <w:sz w:val="32"/>
          <w:szCs w:val="32"/>
          <w:lang w:eastAsia="zh-TW"/>
        </w:rPr>
        <w:t>1.</w:t>
      </w:r>
      <w:r w:rsidR="003E7BBF" w:rsidRPr="00D52537">
        <w:rPr>
          <w:rFonts w:ascii="標楷體" w:eastAsia="標楷體" w:hAnsi="標楷體" w:cs="Calibri" w:hint="eastAsia"/>
          <w:b/>
          <w:i/>
          <w:sz w:val="32"/>
          <w:szCs w:val="32"/>
          <w:lang w:eastAsia="zh-TW"/>
        </w:rPr>
        <w:t>2.</w:t>
      </w:r>
      <w:r w:rsidRPr="00D52537">
        <w:rPr>
          <w:rFonts w:ascii="標楷體" w:eastAsia="標楷體" w:hAnsi="標楷體" w:cs="Calibri" w:hint="eastAsia"/>
          <w:b/>
          <w:i/>
          <w:sz w:val="32"/>
          <w:szCs w:val="32"/>
          <w:lang w:eastAsia="zh-TW"/>
        </w:rPr>
        <w:t>3.</w:t>
      </w:r>
      <w:r w:rsidR="003E7BBF" w:rsidRPr="00D52537">
        <w:rPr>
          <w:rFonts w:ascii="標楷體" w:eastAsia="標楷體" w:hAnsi="標楷體" w:cs="Calibri" w:hint="eastAsia"/>
          <w:b/>
          <w:i/>
          <w:sz w:val="32"/>
          <w:szCs w:val="32"/>
          <w:lang w:eastAsia="zh-TW"/>
        </w:rPr>
        <w:t>3.2</w:t>
      </w:r>
      <w:r w:rsidR="006B0B76" w:rsidRPr="00D52537">
        <w:rPr>
          <w:rFonts w:ascii="標楷體" w:eastAsia="標楷體" w:hAnsi="標楷體" w:cs="Calibri"/>
          <w:b/>
          <w:i/>
          <w:sz w:val="32"/>
          <w:szCs w:val="32"/>
          <w:lang w:eastAsia="zh-TW"/>
        </w:rPr>
        <w:t xml:space="preserve"> </w:t>
      </w:r>
      <w:r w:rsidR="006B0B76" w:rsidRPr="00D52537">
        <w:rPr>
          <w:rFonts w:ascii="標楷體" w:eastAsia="標楷體" w:hAnsi="標楷體" w:cs="Calibri" w:hint="eastAsia"/>
          <w:b/>
          <w:i/>
          <w:sz w:val="32"/>
          <w:szCs w:val="32"/>
          <w:lang w:eastAsia="zh-TW"/>
        </w:rPr>
        <w:t>潛在表決權</w:t>
      </w:r>
    </w:p>
    <w:p w:rsidR="009D52E8" w:rsidRPr="00D52537" w:rsidRDefault="006B0B76"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潛在表決權係取得被投資者表決權之權利，諸如來自可轉換工具或選擇權者，包括來自遠期合約者。為決定是否對</w:t>
      </w:r>
      <w:r w:rsidRPr="00D52537">
        <w:rPr>
          <w:rFonts w:ascii="標楷體" w:eastAsia="標楷體" w:hAnsi="標楷體" w:cs="TTB7CF9C5CtCID-WinCharSetFFFF-H" w:hint="eastAsia"/>
          <w:color w:val="000000"/>
          <w:kern w:val="0"/>
          <w:sz w:val="32"/>
          <w:szCs w:val="32"/>
        </w:rPr>
        <w:lastRenderedPageBreak/>
        <w:t>被投資者具有權力時，投資者考量其潛在表決權及由其他方持有之潛在表決權；惟該等潛在表決權僅於該權利具實質性時，始</w:t>
      </w:r>
      <w:proofErr w:type="gramStart"/>
      <w:r w:rsidRPr="00D52537">
        <w:rPr>
          <w:rFonts w:ascii="標楷體" w:eastAsia="標楷體" w:hAnsi="標楷體" w:cs="TTB7CF9C5CtCID-WinCharSetFFFF-H" w:hint="eastAsia"/>
          <w:color w:val="000000"/>
          <w:kern w:val="0"/>
          <w:sz w:val="32"/>
          <w:szCs w:val="32"/>
        </w:rPr>
        <w:t>予考</w:t>
      </w:r>
      <w:proofErr w:type="gramEnd"/>
      <w:r w:rsidRPr="00D52537">
        <w:rPr>
          <w:rFonts w:ascii="標楷體" w:eastAsia="標楷體" w:hAnsi="標楷體" w:cs="TTB7CF9C5CtCID-WinCharSetFFFF-H" w:hint="eastAsia"/>
          <w:color w:val="000000"/>
          <w:kern w:val="0"/>
          <w:sz w:val="32"/>
          <w:szCs w:val="32"/>
        </w:rPr>
        <w:t>量。詳述於</w:t>
      </w:r>
      <w:r w:rsidR="009D52E8" w:rsidRPr="00D52537">
        <w:rPr>
          <w:rFonts w:ascii="標楷體" w:eastAsia="標楷體" w:hAnsi="標楷體" w:cs="TTB7CF9C5CtCID-WinCharSetFFFF-H" w:hint="eastAsia"/>
          <w:color w:val="000000"/>
          <w:kern w:val="0"/>
          <w:sz w:val="32"/>
          <w:szCs w:val="32"/>
        </w:rPr>
        <w:t>1.3</w:t>
      </w:r>
      <w:r w:rsidRPr="00D52537">
        <w:rPr>
          <w:rFonts w:ascii="標楷體" w:eastAsia="標楷體" w:hAnsi="標楷體" w:cs="TTB7CF9C5CtCID-WinCharSetFFFF-H" w:hint="eastAsia"/>
          <w:color w:val="000000"/>
          <w:kern w:val="0"/>
          <w:sz w:val="32"/>
          <w:szCs w:val="32"/>
        </w:rPr>
        <w:t>單元中關於</w:t>
      </w:r>
      <w:r w:rsidRPr="00D52537">
        <w:rPr>
          <w:rFonts w:ascii="標楷體" w:eastAsia="標楷體" w:hAnsi="標楷體" w:cs="TTB7CF9C5CtCID-WinCharSetFFFF-H"/>
          <w:color w:val="000000"/>
          <w:kern w:val="0"/>
          <w:sz w:val="32"/>
          <w:szCs w:val="32"/>
        </w:rPr>
        <w:t>IFRS 10</w:t>
      </w:r>
      <w:r w:rsidRPr="00D52537">
        <w:rPr>
          <w:rFonts w:ascii="標楷體" w:eastAsia="標楷體" w:hAnsi="標楷體" w:cs="TTB7CF9C5CtCID-WinCharSetFFFF-H" w:hint="eastAsia"/>
          <w:color w:val="000000"/>
          <w:kern w:val="0"/>
          <w:sz w:val="32"/>
          <w:szCs w:val="32"/>
        </w:rPr>
        <w:t>對於具實質性權利之辨認所提供之指引，亦同樣適用於潛在表決權。</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當考量潛在表決權時，投資者應考量該工具之目的及設計，以及投資者對被投資者之任何其他參與之目的及設計。此包括對該工具各種條款及條件之評估，以及投資者同意該等條款及條件之明顯預期、動機及理由。</w:t>
      </w:r>
    </w:p>
    <w:p w:rsidR="006B0B76" w:rsidRPr="00D52537" w:rsidRDefault="006B0B76"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若投資者亦具有與被投資者活動有關之表決權或其他決策權，投資者須評估該等權利</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與潛在表決權相互結合</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是否賦予投資者權力。</w:t>
      </w:r>
    </w:p>
    <w:p w:rsidR="00BD59D7" w:rsidRPr="00D52537" w:rsidRDefault="00BD59D7" w:rsidP="00D52537">
      <w:pPr>
        <w:pStyle w:val="abgheadb"/>
        <w:spacing w:before="100" w:beforeAutospacing="1" w:after="100" w:afterAutospacing="1" w:line="400" w:lineRule="exact"/>
        <w:jc w:val="both"/>
        <w:rPr>
          <w:rFonts w:ascii="標楷體" w:eastAsia="標楷體" w:hAnsi="標楷體" w:cs="Calibri"/>
          <w:szCs w:val="32"/>
          <w:lang w:eastAsia="zh-TW"/>
        </w:rPr>
      </w:pPr>
      <w:r w:rsidRPr="00D52537">
        <w:rPr>
          <w:rFonts w:ascii="標楷體" w:eastAsia="標楷體" w:hAnsi="標楷體" w:cs="Calibri" w:hint="eastAsia"/>
          <w:szCs w:val="32"/>
          <w:lang w:eastAsia="zh-TW"/>
        </w:rPr>
        <w:t>1.2.4</w:t>
      </w:r>
      <w:r w:rsidRPr="00D52537">
        <w:rPr>
          <w:rFonts w:ascii="標楷體" w:eastAsia="標楷體" w:hAnsi="標楷體" w:cs="Calibri"/>
          <w:szCs w:val="32"/>
          <w:lang w:eastAsia="zh-TW"/>
        </w:rPr>
        <w:t xml:space="preserve"> </w:t>
      </w:r>
      <w:r w:rsidRPr="00D52537">
        <w:rPr>
          <w:rFonts w:ascii="標楷體" w:eastAsia="標楷體" w:hAnsi="標楷體" w:cs="Calibri" w:hint="eastAsia"/>
          <w:szCs w:val="32"/>
          <w:lang w:eastAsia="zh-TW"/>
        </w:rPr>
        <w:t>表決權對被投資者報酬不具重大影響時之權力</w:t>
      </w:r>
    </w:p>
    <w:p w:rsidR="00BD59D7" w:rsidRPr="00D52537" w:rsidRDefault="00BD59D7"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相對於</w:t>
      </w:r>
      <w:r w:rsidR="00235A73" w:rsidRPr="00D52537">
        <w:rPr>
          <w:rFonts w:ascii="標楷體" w:eastAsia="標楷體" w:hAnsi="標楷體" w:cs="TTB7CF9C5CtCID-WinCharSetFFFF-H" w:hint="eastAsia"/>
          <w:color w:val="000000"/>
          <w:kern w:val="0"/>
          <w:sz w:val="32"/>
          <w:szCs w:val="32"/>
        </w:rPr>
        <w:t>1.2.3</w:t>
      </w:r>
      <w:r w:rsidRPr="00D52537">
        <w:rPr>
          <w:rFonts w:ascii="標楷體" w:eastAsia="標楷體" w:hAnsi="標楷體" w:cs="TTB7CF9C5CtCID-WinCharSetFFFF-H" w:hint="eastAsia"/>
          <w:color w:val="000000"/>
          <w:kern w:val="0"/>
          <w:sz w:val="32"/>
          <w:szCs w:val="32"/>
        </w:rPr>
        <w:t>單元所討論之情況，在某些情況下，表決權對被投資者之報酬不具重大影響</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例如當表決權僅與行政事務相關，且合約協議決定</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關活動之方向</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。此種情形最常發生於結構型個體係基於法律協議所設立，該協議嚴格限制其治理單位對於有關</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關活動之決策權力。</w:t>
      </w:r>
    </w:p>
    <w:p w:rsidR="00BD59D7" w:rsidRPr="00D52537" w:rsidRDefault="00BD59D7"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color w:val="000000"/>
          <w:kern w:val="0"/>
          <w:sz w:val="32"/>
          <w:szCs w:val="32"/>
        </w:rPr>
        <w:t>IFRS 10</w:t>
      </w:r>
      <w:r w:rsidRPr="00D52537">
        <w:rPr>
          <w:rFonts w:ascii="標楷體" w:eastAsia="標楷體" w:hAnsi="標楷體" w:cs="TTB7CF9C5CtCID-WinCharSetFFFF-H" w:hint="eastAsia"/>
          <w:color w:val="000000"/>
          <w:kern w:val="0"/>
          <w:sz w:val="32"/>
          <w:szCs w:val="32"/>
        </w:rPr>
        <w:t>強調，在複雜情況下，應考量被投資者之目的及設計以辨識被投資者之</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關活動、每一位投資者之權利，及是否有任何一位投資者有能力控制被投資者。</w:t>
      </w:r>
    </w:p>
    <w:p w:rsidR="00BD59D7" w:rsidRDefault="00BD59D7"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22"/>
        </w:rPr>
      </w:pPr>
      <w:r w:rsidRPr="00D52537">
        <w:rPr>
          <w:rFonts w:ascii="標楷體" w:eastAsia="標楷體" w:hAnsi="標楷體" w:cs="TTB7CF9C5CtCID-WinCharSetFFFF-H" w:hint="eastAsia"/>
          <w:color w:val="000000"/>
          <w:kern w:val="0"/>
          <w:sz w:val="32"/>
          <w:szCs w:val="32"/>
        </w:rPr>
        <w:t>在此等情況下，投資者應評估該等合約協議，以判定投資者是否具有足夠權利以賦予其對被投資者之權力。進行評估時，投資者應考量：</w:t>
      </w:r>
    </w:p>
    <w:tbl>
      <w:tblPr>
        <w:tblStyle w:val="-1"/>
        <w:tblW w:w="0" w:type="auto"/>
        <w:tblLook w:val="04A0"/>
      </w:tblPr>
      <w:tblGrid>
        <w:gridCol w:w="3510"/>
        <w:gridCol w:w="4852"/>
      </w:tblGrid>
      <w:tr w:rsidR="00E44061" w:rsidRPr="00D52537" w:rsidTr="00AF74C9">
        <w:trPr>
          <w:cnfStyle w:val="100000000000"/>
        </w:trPr>
        <w:tc>
          <w:tcPr>
            <w:cnfStyle w:val="001000000000"/>
            <w:tcW w:w="3510" w:type="dxa"/>
          </w:tcPr>
          <w:p w:rsidR="00E44061" w:rsidRPr="00D52537" w:rsidRDefault="00C41600" w:rsidP="00D52537">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應考量因素</w:t>
            </w:r>
          </w:p>
        </w:tc>
        <w:tc>
          <w:tcPr>
            <w:tcW w:w="4852" w:type="dxa"/>
          </w:tcPr>
          <w:p w:rsidR="00E44061" w:rsidRPr="00D52537" w:rsidRDefault="00C41600" w:rsidP="00D52537">
            <w:pPr>
              <w:autoSpaceDE w:val="0"/>
              <w:autoSpaceDN w:val="0"/>
              <w:adjustRightInd w:val="0"/>
              <w:spacing w:before="100" w:beforeAutospacing="1" w:after="100" w:afterAutospacing="1" w:line="400" w:lineRule="exact"/>
              <w:cnfStyle w:val="1000000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說明</w:t>
            </w:r>
          </w:p>
        </w:tc>
      </w:tr>
      <w:tr w:rsidR="00C41600" w:rsidRPr="00D52537" w:rsidTr="00AF74C9">
        <w:trPr>
          <w:cnfStyle w:val="000000100000"/>
        </w:trPr>
        <w:tc>
          <w:tcPr>
            <w:cnfStyle w:val="001000000000"/>
            <w:tcW w:w="3510" w:type="dxa"/>
          </w:tcPr>
          <w:p w:rsidR="00C41600" w:rsidRPr="00D52537" w:rsidRDefault="00C41600" w:rsidP="00D52537">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被投資者之目的及設計</w:t>
            </w:r>
          </w:p>
        </w:tc>
        <w:tc>
          <w:tcPr>
            <w:tcW w:w="4852" w:type="dxa"/>
          </w:tcPr>
          <w:p w:rsidR="00C41600" w:rsidRPr="00D52537" w:rsidRDefault="00C41600" w:rsidP="00D52537">
            <w:pPr>
              <w:autoSpaceDE w:val="0"/>
              <w:autoSpaceDN w:val="0"/>
              <w:adjustRightInd w:val="0"/>
              <w:spacing w:line="400" w:lineRule="exact"/>
              <w:cnfStyle w:val="000000100000"/>
              <w:rPr>
                <w:rFonts w:ascii="標楷體" w:eastAsia="標楷體" w:hAnsi="標楷體" w:cs="Calibri"/>
                <w:color w:val="auto"/>
                <w:kern w:val="0"/>
                <w:sz w:val="28"/>
                <w:szCs w:val="28"/>
                <w:lang w:val="en-GB"/>
              </w:rPr>
            </w:pPr>
            <w:r w:rsidRPr="00D52537">
              <w:rPr>
                <w:rFonts w:ascii="標楷體" w:eastAsia="標楷體" w:hAnsi="標楷體" w:cs="TTB7CF9C5CtCID-WinCharSetFFFF-H" w:hint="eastAsia"/>
                <w:color w:val="000000"/>
                <w:kern w:val="0"/>
                <w:sz w:val="28"/>
                <w:szCs w:val="28"/>
              </w:rPr>
              <w:t>應聚焦於以下事項：</w:t>
            </w:r>
          </w:p>
          <w:p w:rsidR="00C41600" w:rsidRPr="00D52537" w:rsidRDefault="00C41600" w:rsidP="00D52537">
            <w:pPr>
              <w:pStyle w:val="a4"/>
              <w:numPr>
                <w:ilvl w:val="0"/>
                <w:numId w:val="17"/>
              </w:numPr>
              <w:autoSpaceDE w:val="0"/>
              <w:autoSpaceDN w:val="0"/>
              <w:adjustRightInd w:val="0"/>
              <w:spacing w:line="400" w:lineRule="exact"/>
              <w:ind w:leftChars="0" w:left="318" w:hanging="284"/>
              <w:cnfStyle w:val="0000001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被投資者被設計所將暴露之風險；</w:t>
            </w:r>
          </w:p>
          <w:p w:rsidR="00C41600" w:rsidRPr="00D52537" w:rsidRDefault="00C41600" w:rsidP="00D52537">
            <w:pPr>
              <w:pStyle w:val="a4"/>
              <w:numPr>
                <w:ilvl w:val="0"/>
                <w:numId w:val="17"/>
              </w:numPr>
              <w:autoSpaceDE w:val="0"/>
              <w:autoSpaceDN w:val="0"/>
              <w:adjustRightInd w:val="0"/>
              <w:spacing w:line="400" w:lineRule="exact"/>
              <w:ind w:leftChars="0" w:left="318" w:hanging="284"/>
              <w:cnfStyle w:val="0000001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被設計將轉嫁予參與被投資者之各方之風險；以及</w:t>
            </w:r>
          </w:p>
          <w:p w:rsidR="00C41600" w:rsidRPr="00D52537" w:rsidRDefault="00C41600" w:rsidP="00D52537">
            <w:pPr>
              <w:pStyle w:val="a4"/>
              <w:numPr>
                <w:ilvl w:val="0"/>
                <w:numId w:val="17"/>
              </w:numPr>
              <w:autoSpaceDE w:val="0"/>
              <w:autoSpaceDN w:val="0"/>
              <w:adjustRightInd w:val="0"/>
              <w:spacing w:line="400" w:lineRule="exact"/>
              <w:ind w:leftChars="0" w:left="318" w:hanging="284"/>
              <w:cnfStyle w:val="0000001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投資者是否暴露於該等風險之部分</w:t>
            </w:r>
            <w:r w:rsidRPr="00D52537">
              <w:rPr>
                <w:rFonts w:ascii="標楷體" w:eastAsia="標楷體" w:hAnsi="標楷體" w:cs="TTB7CF9C5CtCID-WinCharSetFFFF-H" w:hint="eastAsia"/>
                <w:color w:val="000000"/>
                <w:kern w:val="0"/>
                <w:sz w:val="28"/>
                <w:szCs w:val="28"/>
              </w:rPr>
              <w:lastRenderedPageBreak/>
              <w:t>或全部。</w:t>
            </w:r>
          </w:p>
          <w:p w:rsidR="00C41600" w:rsidRPr="00D52537" w:rsidRDefault="00C41600" w:rsidP="00D52537">
            <w:pPr>
              <w:autoSpaceDE w:val="0"/>
              <w:autoSpaceDN w:val="0"/>
              <w:adjustRightInd w:val="0"/>
              <w:spacing w:line="400" w:lineRule="exact"/>
              <w:cnfStyle w:val="0000001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風險之考量不僅包括不利風險，亦包括可能之有利情況。</w:t>
            </w:r>
          </w:p>
        </w:tc>
      </w:tr>
      <w:tr w:rsidR="00E44061" w:rsidRPr="00D52537" w:rsidTr="00AF74C9">
        <w:tc>
          <w:tcPr>
            <w:cnfStyle w:val="001000000000"/>
            <w:tcW w:w="3510" w:type="dxa"/>
          </w:tcPr>
          <w:p w:rsidR="00E44061" w:rsidRPr="00D52537" w:rsidRDefault="00C41600" w:rsidP="00D52537">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lastRenderedPageBreak/>
              <w:t>考量所</w:t>
            </w:r>
            <w:r w:rsidR="00E44061" w:rsidRPr="00D52537">
              <w:rPr>
                <w:rFonts w:ascii="標楷體" w:eastAsia="標楷體" w:hAnsi="標楷體" w:cs="TTB7CF9C5CtCID-WinCharSetFFFF-H" w:hint="eastAsia"/>
                <w:color w:val="000000"/>
                <w:kern w:val="0"/>
                <w:sz w:val="28"/>
                <w:szCs w:val="28"/>
              </w:rPr>
              <w:t>參與被投資者之設計</w:t>
            </w:r>
          </w:p>
        </w:tc>
        <w:tc>
          <w:tcPr>
            <w:tcW w:w="4852" w:type="dxa"/>
          </w:tcPr>
          <w:p w:rsidR="00E44061" w:rsidRPr="00D52537" w:rsidRDefault="00E44061" w:rsidP="00D52537">
            <w:pPr>
              <w:autoSpaceDE w:val="0"/>
              <w:autoSpaceDN w:val="0"/>
              <w:adjustRightInd w:val="0"/>
              <w:spacing w:before="100" w:beforeAutospacing="1" w:after="100" w:afterAutospacing="1" w:line="400" w:lineRule="exact"/>
              <w:cnfStyle w:val="0000000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投資者應將於被投資者設立之初所作之參與及決策視為被投資者設計之一部分，並評估該參與之交易條款及特性是否提供投資者足以賦予其權力之權利。僅參與被投資者之設計不足以賦予投資者控制。</w:t>
            </w:r>
            <w:proofErr w:type="gramStart"/>
            <w:r w:rsidRPr="00D52537">
              <w:rPr>
                <w:rFonts w:ascii="標楷體" w:eastAsia="標楷體" w:hAnsi="標楷體" w:cs="TTB7CF9C5CtCID-WinCharSetFFFF-H" w:hint="eastAsia"/>
                <w:color w:val="000000"/>
                <w:kern w:val="0"/>
                <w:sz w:val="28"/>
                <w:szCs w:val="28"/>
              </w:rPr>
              <w:t>惟</w:t>
            </w:r>
            <w:proofErr w:type="gramEnd"/>
            <w:r w:rsidRPr="00D52537">
              <w:rPr>
                <w:rFonts w:ascii="標楷體" w:eastAsia="標楷體" w:hAnsi="標楷體" w:cs="TTB7CF9C5CtCID-WinCharSetFFFF-H" w:hint="eastAsia"/>
                <w:color w:val="000000"/>
                <w:kern w:val="0"/>
                <w:sz w:val="28"/>
                <w:szCs w:val="28"/>
              </w:rPr>
              <w:t>參與設計可能顯示投資者有機會取得足以賦予其對被投資者權力之權利。</w:t>
            </w:r>
          </w:p>
        </w:tc>
      </w:tr>
      <w:tr w:rsidR="00E44061" w:rsidRPr="00D52537" w:rsidTr="00AF74C9">
        <w:trPr>
          <w:cnfStyle w:val="000000100000"/>
        </w:trPr>
        <w:tc>
          <w:tcPr>
            <w:cnfStyle w:val="001000000000"/>
            <w:tcW w:w="3510" w:type="dxa"/>
          </w:tcPr>
          <w:p w:rsidR="00E44061" w:rsidRPr="00D52537" w:rsidRDefault="00C41600" w:rsidP="00D52537">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考量合約協議</w:t>
            </w:r>
          </w:p>
        </w:tc>
        <w:tc>
          <w:tcPr>
            <w:tcW w:w="4852" w:type="dxa"/>
          </w:tcPr>
          <w:p w:rsidR="00E44061" w:rsidRPr="00D52537" w:rsidRDefault="00C41600" w:rsidP="00D52537">
            <w:pPr>
              <w:autoSpaceDE w:val="0"/>
              <w:autoSpaceDN w:val="0"/>
              <w:adjustRightInd w:val="0"/>
              <w:spacing w:line="400" w:lineRule="exact"/>
              <w:cnfStyle w:val="0000001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例如被投資者設立之初所建立之買權、賣權及清算權。當此等合約協議涉及與被投資者緊密關聯之活動時，則此等活動實質上係被投資者整體活動之一部分，即使此等活動可能發生於被投資者法律界線之外。</w:t>
            </w:r>
          </w:p>
        </w:tc>
      </w:tr>
      <w:tr w:rsidR="00E44061" w:rsidRPr="00D52537" w:rsidTr="00AF74C9">
        <w:tc>
          <w:tcPr>
            <w:cnfStyle w:val="001000000000"/>
            <w:tcW w:w="3510" w:type="dxa"/>
          </w:tcPr>
          <w:p w:rsidR="00E44061" w:rsidRPr="00D52537" w:rsidRDefault="00235A73" w:rsidP="00D52537">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考量</w:t>
            </w:r>
            <w:r w:rsidR="00C41600" w:rsidRPr="00D52537">
              <w:rPr>
                <w:rFonts w:ascii="標楷體" w:eastAsia="標楷體" w:hAnsi="標楷體" w:cs="TTB7CF9C5CtCID-WinCharSetFFFF-H" w:hint="eastAsia"/>
                <w:color w:val="000000"/>
                <w:kern w:val="0"/>
                <w:sz w:val="28"/>
                <w:szCs w:val="28"/>
              </w:rPr>
              <w:t>僅當特定情況產生或事項發生時，始發生之</w:t>
            </w:r>
            <w:proofErr w:type="gramStart"/>
            <w:r w:rsidR="00C41600" w:rsidRPr="00D52537">
              <w:rPr>
                <w:rFonts w:ascii="標楷體" w:eastAsia="標楷體" w:hAnsi="標楷體" w:cs="TTB7CF9C5CtCID-WinCharSetFFFF-H" w:hint="eastAsia"/>
                <w:color w:val="000000"/>
                <w:kern w:val="0"/>
                <w:sz w:val="28"/>
                <w:szCs w:val="28"/>
              </w:rPr>
              <w:t>攸</w:t>
            </w:r>
            <w:proofErr w:type="gramEnd"/>
            <w:r w:rsidR="00C41600" w:rsidRPr="00D52537">
              <w:rPr>
                <w:rFonts w:ascii="標楷體" w:eastAsia="標楷體" w:hAnsi="標楷體" w:cs="TTB7CF9C5CtCID-WinCharSetFFFF-H" w:hint="eastAsia"/>
                <w:color w:val="000000"/>
                <w:kern w:val="0"/>
                <w:sz w:val="28"/>
                <w:szCs w:val="28"/>
              </w:rPr>
              <w:t>關活動</w:t>
            </w:r>
          </w:p>
        </w:tc>
        <w:tc>
          <w:tcPr>
            <w:tcW w:w="4852" w:type="dxa"/>
          </w:tcPr>
          <w:p w:rsidR="00E44061" w:rsidRPr="00D52537" w:rsidRDefault="00C41600" w:rsidP="00D52537">
            <w:pPr>
              <w:autoSpaceDE w:val="0"/>
              <w:autoSpaceDN w:val="0"/>
              <w:adjustRightInd w:val="0"/>
              <w:spacing w:line="400" w:lineRule="exact"/>
              <w:cnfStyle w:val="0000000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被投資者可能被設計致使其活動之方向及其報酬係預先決定，除非且直至該等特定情況產生或事項發生。在此情況下，於該等情況或事項發生時，僅有關被投資者活動之決策可重大影響其報酬，因而屬</w:t>
            </w:r>
            <w:proofErr w:type="gramStart"/>
            <w:r w:rsidRPr="00D52537">
              <w:rPr>
                <w:rFonts w:ascii="標楷體" w:eastAsia="標楷體" w:hAnsi="標楷體" w:cs="TTB7CF9C5CtCID-WinCharSetFFFF-H" w:hint="eastAsia"/>
                <w:color w:val="000000"/>
                <w:kern w:val="0"/>
                <w:sz w:val="28"/>
                <w:szCs w:val="28"/>
              </w:rPr>
              <w:t>攸</w:t>
            </w:r>
            <w:proofErr w:type="gramEnd"/>
            <w:r w:rsidRPr="00D52537">
              <w:rPr>
                <w:rFonts w:ascii="標楷體" w:eastAsia="標楷體" w:hAnsi="標楷體" w:cs="TTB7CF9C5CtCID-WinCharSetFFFF-H" w:hint="eastAsia"/>
                <w:color w:val="000000"/>
                <w:kern w:val="0"/>
                <w:sz w:val="28"/>
                <w:szCs w:val="28"/>
              </w:rPr>
              <w:t>關活動。對有能力作該等決策之投資者，無須</w:t>
            </w:r>
            <w:proofErr w:type="gramStart"/>
            <w:r w:rsidRPr="00D52537">
              <w:rPr>
                <w:rFonts w:ascii="標楷體" w:eastAsia="標楷體" w:hAnsi="標楷體" w:cs="TTB7CF9C5CtCID-WinCharSetFFFF-H" w:hint="eastAsia"/>
                <w:color w:val="000000"/>
                <w:kern w:val="0"/>
                <w:sz w:val="28"/>
                <w:szCs w:val="28"/>
              </w:rPr>
              <w:t>俟</w:t>
            </w:r>
            <w:proofErr w:type="gramEnd"/>
            <w:r w:rsidRPr="00D52537">
              <w:rPr>
                <w:rFonts w:ascii="標楷體" w:eastAsia="標楷體" w:hAnsi="標楷體" w:cs="TTB7CF9C5CtCID-WinCharSetFFFF-H" w:hint="eastAsia"/>
                <w:color w:val="000000"/>
                <w:kern w:val="0"/>
                <w:sz w:val="28"/>
                <w:szCs w:val="28"/>
              </w:rPr>
              <w:t>該情況或事項發生方具權力。</w:t>
            </w:r>
          </w:p>
        </w:tc>
      </w:tr>
      <w:tr w:rsidR="00C41600" w:rsidRPr="00D52537" w:rsidTr="00AF74C9">
        <w:trPr>
          <w:cnfStyle w:val="000000100000"/>
        </w:trPr>
        <w:tc>
          <w:tcPr>
            <w:cnfStyle w:val="001000000000"/>
            <w:tcW w:w="3510" w:type="dxa"/>
          </w:tcPr>
          <w:p w:rsidR="00C41600" w:rsidRPr="00D52537" w:rsidRDefault="00C41600" w:rsidP="00D52537">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考量是否有明確或隱含之承諾以確保被投資者依設計繼續營運</w:t>
            </w:r>
          </w:p>
        </w:tc>
        <w:tc>
          <w:tcPr>
            <w:tcW w:w="4852" w:type="dxa"/>
          </w:tcPr>
          <w:p w:rsidR="00C41600" w:rsidRPr="00D52537" w:rsidRDefault="00C41600" w:rsidP="00D52537">
            <w:pPr>
              <w:autoSpaceDE w:val="0"/>
              <w:autoSpaceDN w:val="0"/>
              <w:adjustRightInd w:val="0"/>
              <w:spacing w:before="100" w:beforeAutospacing="1" w:after="100" w:afterAutospacing="1" w:line="400" w:lineRule="exact"/>
              <w:cnfStyle w:val="0000001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此種承諾可能增加投資者對報酬變異性</w:t>
            </w:r>
            <w:proofErr w:type="gramStart"/>
            <w:r w:rsidRPr="00D52537">
              <w:rPr>
                <w:rFonts w:ascii="標楷體" w:eastAsia="標楷體" w:hAnsi="標楷體" w:cs="TTB7CF9C5CtCID-WinCharSetFFFF-H" w:hint="eastAsia"/>
                <w:color w:val="000000"/>
                <w:kern w:val="0"/>
                <w:sz w:val="28"/>
                <w:szCs w:val="28"/>
              </w:rPr>
              <w:t>之暴險</w:t>
            </w:r>
            <w:proofErr w:type="gramEnd"/>
            <w:r w:rsidRPr="00D52537">
              <w:rPr>
                <w:rFonts w:ascii="標楷體" w:eastAsia="標楷體" w:hAnsi="標楷體" w:cs="TTB7CF9C5CtCID-WinCharSetFFFF-H" w:hint="eastAsia"/>
                <w:color w:val="000000"/>
                <w:kern w:val="0"/>
                <w:sz w:val="28"/>
                <w:szCs w:val="28"/>
              </w:rPr>
              <w:t>，並因而增加投資者取得足夠權利以賦予其權力之誘因。因此確保被投資者依設計營運之承諾可能係投資者具有權力之跡象，但本身不賦予投資者權力，亦不妨礙另一方具有權力。</w:t>
            </w:r>
          </w:p>
        </w:tc>
      </w:tr>
      <w:tr w:rsidR="00C41600" w:rsidRPr="00D52537" w:rsidTr="00AF74C9">
        <w:tc>
          <w:tcPr>
            <w:cnfStyle w:val="001000000000"/>
            <w:tcW w:w="3510" w:type="dxa"/>
          </w:tcPr>
          <w:p w:rsidR="00C41600" w:rsidRPr="00D52537" w:rsidRDefault="00C41600" w:rsidP="00D52537">
            <w:pPr>
              <w:autoSpaceDE w:val="0"/>
              <w:autoSpaceDN w:val="0"/>
              <w:adjustRightInd w:val="0"/>
              <w:spacing w:line="400" w:lineRule="exact"/>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hint="eastAsia"/>
                <w:color w:val="000000"/>
                <w:kern w:val="0"/>
                <w:sz w:val="28"/>
                <w:szCs w:val="28"/>
              </w:rPr>
              <w:t>當難以判定投資者之權利是否足以賦予其對被投資者之權力時</w:t>
            </w:r>
          </w:p>
        </w:tc>
        <w:tc>
          <w:tcPr>
            <w:tcW w:w="4852" w:type="dxa"/>
          </w:tcPr>
          <w:p w:rsidR="00C41600" w:rsidRPr="00D52537" w:rsidRDefault="00C41600" w:rsidP="00D52537">
            <w:pPr>
              <w:autoSpaceDE w:val="0"/>
              <w:autoSpaceDN w:val="0"/>
              <w:adjustRightInd w:val="0"/>
              <w:spacing w:line="400" w:lineRule="exact"/>
              <w:cnfStyle w:val="000000000000"/>
              <w:rPr>
                <w:rFonts w:ascii="標楷體" w:eastAsia="標楷體" w:hAnsi="標楷體" w:cs="TTB7CF9C5CtCID-WinCharSetFFFF-H"/>
                <w:color w:val="000000"/>
                <w:kern w:val="0"/>
                <w:sz w:val="28"/>
                <w:szCs w:val="28"/>
              </w:rPr>
            </w:pPr>
            <w:r w:rsidRPr="00D52537">
              <w:rPr>
                <w:rFonts w:ascii="標楷體" w:eastAsia="標楷體" w:hAnsi="標楷體" w:cs="TTB7CF9C5CtCID-WinCharSetFFFF-H"/>
                <w:color w:val="000000"/>
                <w:kern w:val="0"/>
                <w:sz w:val="28"/>
                <w:szCs w:val="28"/>
              </w:rPr>
              <w:t>IFRS 10:B18-B20</w:t>
            </w:r>
            <w:r w:rsidRPr="00D52537">
              <w:rPr>
                <w:rFonts w:ascii="標楷體" w:eastAsia="標楷體" w:hAnsi="標楷體" w:cs="TTB7CF9C5CtCID-WinCharSetFFFF-H" w:hint="eastAsia"/>
                <w:color w:val="000000"/>
                <w:kern w:val="0"/>
                <w:sz w:val="28"/>
                <w:szCs w:val="28"/>
              </w:rPr>
              <w:t>所特別規定應考量之額外因素</w:t>
            </w:r>
            <w:r w:rsidRPr="00D52537">
              <w:rPr>
                <w:rFonts w:ascii="標楷體" w:eastAsia="標楷體" w:hAnsi="標楷體" w:cs="TTB7CF9C5CtCID-WinCharSetFFFF-H"/>
                <w:color w:val="000000"/>
                <w:kern w:val="0"/>
                <w:sz w:val="28"/>
                <w:szCs w:val="28"/>
              </w:rPr>
              <w:t>(</w:t>
            </w:r>
            <w:r w:rsidRPr="00D52537">
              <w:rPr>
                <w:rFonts w:ascii="標楷體" w:eastAsia="標楷體" w:hAnsi="標楷體" w:cs="TTB7CF9C5CtCID-WinCharSetFFFF-H" w:hint="eastAsia"/>
                <w:color w:val="000000"/>
                <w:kern w:val="0"/>
                <w:sz w:val="28"/>
                <w:szCs w:val="28"/>
              </w:rPr>
              <w:t>參閱</w:t>
            </w:r>
            <w:r w:rsidR="008835DA" w:rsidRPr="00D52537">
              <w:rPr>
                <w:rFonts w:ascii="標楷體" w:eastAsia="標楷體" w:hAnsi="標楷體" w:cs="TTB7CF9C5CtCID-WinCharSetFFFF-H" w:hint="eastAsia"/>
                <w:color w:val="000000"/>
                <w:kern w:val="0"/>
                <w:sz w:val="28"/>
                <w:szCs w:val="28"/>
              </w:rPr>
              <w:t>附錄</w:t>
            </w:r>
            <w:r w:rsidRPr="00D52537">
              <w:rPr>
                <w:rFonts w:ascii="標楷體" w:eastAsia="標楷體" w:hAnsi="標楷體" w:cs="TTB7CF9C5CtCID-WinCharSetFFFF-H"/>
                <w:color w:val="000000"/>
                <w:kern w:val="0"/>
                <w:sz w:val="28"/>
                <w:szCs w:val="28"/>
              </w:rPr>
              <w:t>)</w:t>
            </w:r>
            <w:r w:rsidRPr="00D52537">
              <w:rPr>
                <w:rFonts w:ascii="標楷體" w:eastAsia="標楷體" w:hAnsi="標楷體" w:cs="TTB7CF9C5CtCID-WinCharSetFFFF-H" w:hint="eastAsia"/>
                <w:color w:val="000000"/>
                <w:kern w:val="0"/>
                <w:sz w:val="28"/>
                <w:szCs w:val="28"/>
              </w:rPr>
              <w:t>。</w:t>
            </w:r>
          </w:p>
        </w:tc>
      </w:tr>
    </w:tbl>
    <w:p w:rsidR="00C705CB" w:rsidRPr="00D52537" w:rsidRDefault="00C705CB" w:rsidP="009C302F">
      <w:pPr>
        <w:autoSpaceDE w:val="0"/>
        <w:autoSpaceDN w:val="0"/>
        <w:adjustRightInd w:val="0"/>
        <w:spacing w:beforeLines="50" w:afterLines="50" w:line="400" w:lineRule="exact"/>
        <w:ind w:firstLineChars="200" w:firstLine="640"/>
        <w:rPr>
          <w:rFonts w:ascii="標楷體" w:eastAsia="標楷體" w:hAnsi="標楷體" w:cs="TTB7CF9C5CtCID-WinCharSetFFFF-H"/>
          <w:color w:val="000000"/>
          <w:kern w:val="0"/>
          <w:sz w:val="32"/>
          <w:szCs w:val="32"/>
        </w:rPr>
      </w:pPr>
      <w:r w:rsidRPr="00D52537">
        <w:rPr>
          <w:rFonts w:eastAsia="標楷體" w:cs="TTB7CF9C5CtCID-WinCharSetFFFF-H"/>
          <w:color w:val="000000"/>
          <w:kern w:val="0"/>
          <w:sz w:val="32"/>
          <w:szCs w:val="32"/>
        </w:rPr>
        <w:lastRenderedPageBreak/>
        <w:t>IFRS 10</w:t>
      </w:r>
      <w:r w:rsidRPr="00D52537">
        <w:rPr>
          <w:rFonts w:eastAsia="標楷體" w:cs="TTB7CF9C5CtCID-WinCharSetFFFF-H" w:hint="eastAsia"/>
          <w:color w:val="000000"/>
          <w:kern w:val="0"/>
          <w:sz w:val="32"/>
          <w:szCs w:val="32"/>
        </w:rPr>
        <w:t>附錄</w:t>
      </w:r>
      <w:r w:rsidRPr="00D52537">
        <w:rPr>
          <w:rFonts w:eastAsia="標楷體" w:cs="TTB7CF9C5CtCID-WinCharSetFFFF-H"/>
          <w:color w:val="000000"/>
          <w:kern w:val="0"/>
          <w:sz w:val="32"/>
          <w:szCs w:val="32"/>
        </w:rPr>
        <w:t>B</w:t>
      </w:r>
      <w:r w:rsidRPr="00D52537">
        <w:rPr>
          <w:rFonts w:eastAsia="標楷體" w:cs="TTB7CF9C5CtCID-WinCharSetFFFF-H" w:hint="eastAsia"/>
          <w:color w:val="000000"/>
          <w:kern w:val="0"/>
          <w:sz w:val="32"/>
          <w:szCs w:val="32"/>
        </w:rPr>
        <w:t>列有</w:t>
      </w:r>
      <w:proofErr w:type="gramStart"/>
      <w:r w:rsidRPr="00D52537">
        <w:rPr>
          <w:rFonts w:eastAsia="標楷體" w:cs="TTB7CF9C5CtCID-WinCharSetFFFF-H" w:hint="eastAsia"/>
          <w:color w:val="000000"/>
          <w:kern w:val="0"/>
          <w:sz w:val="32"/>
          <w:szCs w:val="32"/>
        </w:rPr>
        <w:t>兩個釋例說明</w:t>
      </w:r>
      <w:proofErr w:type="gramEnd"/>
      <w:r w:rsidRPr="00D52537">
        <w:rPr>
          <w:rFonts w:eastAsia="標楷體" w:cs="TTB7CF9C5CtCID-WinCharSetFFFF-H" w:hint="eastAsia"/>
          <w:color w:val="000000"/>
          <w:kern w:val="0"/>
          <w:sz w:val="32"/>
          <w:szCs w:val="32"/>
        </w:rPr>
        <w:t>如何應用以上規定，請參閱本指引六、其他</w:t>
      </w:r>
      <w:r w:rsidR="00C11B3C" w:rsidRPr="00D52537">
        <w:rPr>
          <w:rFonts w:eastAsia="標楷體" w:cs="TTB7CF9C5CtCID-WinCharSetFFFF-H" w:hint="eastAsia"/>
          <w:color w:val="000000"/>
          <w:kern w:val="0"/>
          <w:sz w:val="32"/>
          <w:szCs w:val="32"/>
        </w:rPr>
        <w:t>下</w:t>
      </w:r>
      <w:r w:rsidRPr="00D52537">
        <w:rPr>
          <w:rFonts w:eastAsia="標楷體" w:cs="TTB7CF9C5CtCID-WinCharSetFFFF-H" w:hint="eastAsia"/>
          <w:color w:val="000000"/>
          <w:kern w:val="0"/>
          <w:sz w:val="32"/>
          <w:szCs w:val="32"/>
        </w:rPr>
        <w:t>之附錄。</w:t>
      </w:r>
    </w:p>
    <w:p w:rsidR="00AF549A" w:rsidRPr="00D52537" w:rsidRDefault="00AF549A" w:rsidP="00D52537">
      <w:pPr>
        <w:pStyle w:val="abgheadb"/>
        <w:spacing w:before="100" w:beforeAutospacing="1" w:after="100" w:afterAutospacing="1" w:line="400" w:lineRule="exact"/>
        <w:jc w:val="both"/>
        <w:rPr>
          <w:rFonts w:ascii="標楷體" w:eastAsia="標楷體" w:hAnsi="標楷體" w:cs="Calibri"/>
          <w:szCs w:val="32"/>
          <w:lang w:eastAsia="zh-TW"/>
        </w:rPr>
      </w:pPr>
      <w:r w:rsidRPr="00D52537">
        <w:rPr>
          <w:rFonts w:ascii="標楷體" w:eastAsia="標楷體" w:hAnsi="標楷體" w:cs="Calibri" w:hint="eastAsia"/>
          <w:szCs w:val="32"/>
          <w:lang w:eastAsia="zh-TW"/>
        </w:rPr>
        <w:t>1.3</w:t>
      </w:r>
      <w:r w:rsidRPr="00D52537">
        <w:rPr>
          <w:rFonts w:ascii="標楷體" w:eastAsia="標楷體" w:hAnsi="標楷體" w:cs="Calibri"/>
          <w:szCs w:val="32"/>
          <w:lang w:eastAsia="zh-TW"/>
        </w:rPr>
        <w:t xml:space="preserve"> </w:t>
      </w:r>
      <w:r w:rsidRPr="00D52537">
        <w:rPr>
          <w:rFonts w:ascii="標楷體" w:eastAsia="標楷體" w:hAnsi="標楷體" w:cs="Calibri" w:hint="eastAsia"/>
          <w:szCs w:val="32"/>
          <w:lang w:eastAsia="zh-TW"/>
        </w:rPr>
        <w:t>實質性權利</w:t>
      </w:r>
    </w:p>
    <w:p w:rsidR="00AF549A" w:rsidRPr="00D52537" w:rsidRDefault="00AF549A"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投資者於評估其是否具有權力時，僅考量與被投資者有關之實質性權利。權利要具有實質性，持有者必須具有實際能力以行使該權利。</w:t>
      </w:r>
    </w:p>
    <w:p w:rsidR="00AF549A" w:rsidRDefault="00AF549A"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22"/>
        </w:rPr>
      </w:pPr>
      <w:r w:rsidRPr="00D52537">
        <w:rPr>
          <w:rFonts w:ascii="標楷體" w:eastAsia="標楷體" w:hAnsi="標楷體" w:cs="TTB7CF9C5CtCID-WinCharSetFFFF-H" w:hint="eastAsia"/>
          <w:color w:val="000000"/>
          <w:kern w:val="0"/>
          <w:sz w:val="32"/>
          <w:szCs w:val="32"/>
        </w:rPr>
        <w:t>決定權利是否具實質性須考量所有事實及情況加以判斷。</w:t>
      </w:r>
      <w:r w:rsidRPr="00D52537">
        <w:rPr>
          <w:rFonts w:ascii="標楷體" w:eastAsia="標楷體" w:hAnsi="標楷體" w:cs="TTB7CF9C5CtCID-WinCharSetFFFF-H"/>
          <w:color w:val="000000"/>
          <w:kern w:val="0"/>
          <w:sz w:val="32"/>
          <w:szCs w:val="32"/>
        </w:rPr>
        <w:t>IFRS 10</w:t>
      </w:r>
      <w:r w:rsidRPr="00D52537">
        <w:rPr>
          <w:rFonts w:ascii="標楷體" w:eastAsia="標楷體" w:hAnsi="標楷體" w:cs="TTB7CF9C5CtCID-WinCharSetFFFF-H" w:hint="eastAsia"/>
          <w:color w:val="000000"/>
          <w:kern w:val="0"/>
          <w:sz w:val="32"/>
          <w:szCs w:val="32"/>
        </w:rPr>
        <w:t>列有多項投資人於評估權利是否具有實質性時所應考量之因素包括</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但不限於</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w:t>
      </w:r>
    </w:p>
    <w:tbl>
      <w:tblPr>
        <w:tblStyle w:val="-1"/>
        <w:tblW w:w="0" w:type="auto"/>
        <w:tblLook w:val="04A0"/>
      </w:tblPr>
      <w:tblGrid>
        <w:gridCol w:w="2802"/>
        <w:gridCol w:w="5560"/>
      </w:tblGrid>
      <w:tr w:rsidR="0066766E" w:rsidRPr="00D52537" w:rsidTr="00B6002B">
        <w:trPr>
          <w:cnfStyle w:val="100000000000"/>
          <w:tblHeader/>
        </w:trPr>
        <w:tc>
          <w:tcPr>
            <w:cnfStyle w:val="001000000000"/>
            <w:tcW w:w="2802" w:type="dxa"/>
          </w:tcPr>
          <w:p w:rsidR="0066766E" w:rsidRPr="00D52537" w:rsidRDefault="0066766E" w:rsidP="00D52537">
            <w:pPr>
              <w:pStyle w:val="112"/>
              <w:spacing w:line="400" w:lineRule="exact"/>
              <w:rPr>
                <w:rFonts w:ascii="標楷體" w:hAnsi="標楷體"/>
                <w:i w:val="0"/>
                <w:color w:val="auto"/>
                <w:sz w:val="28"/>
                <w:szCs w:val="28"/>
              </w:rPr>
            </w:pPr>
            <w:r w:rsidRPr="00D52537">
              <w:rPr>
                <w:rFonts w:ascii="標楷體" w:hAnsi="標楷體" w:cs="TTB7CF9C5CtCID-WinCharSetFFFF-H" w:hint="eastAsia"/>
                <w:i w:val="0"/>
                <w:color w:val="auto"/>
                <w:sz w:val="28"/>
                <w:szCs w:val="28"/>
              </w:rPr>
              <w:t>因素</w:t>
            </w:r>
          </w:p>
        </w:tc>
        <w:tc>
          <w:tcPr>
            <w:tcW w:w="5560" w:type="dxa"/>
          </w:tcPr>
          <w:p w:rsidR="0066766E" w:rsidRPr="00D52537" w:rsidRDefault="0066766E" w:rsidP="00D52537">
            <w:pPr>
              <w:pStyle w:val="112"/>
              <w:spacing w:line="400" w:lineRule="exact"/>
              <w:cnfStyle w:val="100000000000"/>
              <w:rPr>
                <w:rFonts w:ascii="標楷體" w:hAnsi="標楷體"/>
                <w:i w:val="0"/>
                <w:color w:val="auto"/>
                <w:sz w:val="28"/>
                <w:szCs w:val="28"/>
              </w:rPr>
            </w:pPr>
            <w:r w:rsidRPr="00D52537">
              <w:rPr>
                <w:rFonts w:ascii="標楷體" w:hAnsi="標楷體" w:hint="eastAsia"/>
                <w:i w:val="0"/>
                <w:color w:val="auto"/>
                <w:sz w:val="28"/>
                <w:szCs w:val="28"/>
              </w:rPr>
              <w:t>說明</w:t>
            </w:r>
          </w:p>
        </w:tc>
      </w:tr>
      <w:tr w:rsidR="0066766E" w:rsidRPr="00D52537" w:rsidTr="0066766E">
        <w:trPr>
          <w:cnfStyle w:val="000000100000"/>
        </w:trPr>
        <w:tc>
          <w:tcPr>
            <w:cnfStyle w:val="001000000000"/>
            <w:tcW w:w="2802" w:type="dxa"/>
          </w:tcPr>
          <w:p w:rsidR="0066766E" w:rsidRPr="00D52537" w:rsidRDefault="00235A73" w:rsidP="00D52537">
            <w:pPr>
              <w:autoSpaceDE w:val="0"/>
              <w:autoSpaceDN w:val="0"/>
              <w:adjustRightInd w:val="0"/>
              <w:spacing w:before="100" w:beforeAutospacing="1" w:after="100" w:afterAutospacing="1" w:line="400" w:lineRule="exact"/>
              <w:rPr>
                <w:rFonts w:ascii="標楷體" w:eastAsia="標楷體" w:hAnsi="標楷體"/>
                <w:i/>
                <w:color w:val="auto"/>
                <w:sz w:val="28"/>
                <w:szCs w:val="28"/>
              </w:rPr>
            </w:pPr>
            <w:r w:rsidRPr="00D52537">
              <w:rPr>
                <w:rFonts w:ascii="標楷體" w:eastAsia="標楷體" w:hAnsi="標楷體" w:cs="TTB7CF9C5CtCID-WinCharSetFFFF-H" w:hint="eastAsia"/>
                <w:b w:val="0"/>
                <w:bCs w:val="0"/>
                <w:color w:val="000000"/>
                <w:kern w:val="0"/>
                <w:sz w:val="28"/>
                <w:szCs w:val="28"/>
              </w:rPr>
              <w:t>是否存有妨礙持有者行使權利之任何障礙</w:t>
            </w:r>
            <w:r w:rsidRPr="00D52537">
              <w:rPr>
                <w:rFonts w:ascii="標楷體" w:eastAsia="標楷體" w:hAnsi="標楷體" w:cs="TTB7CF9C5CtCID-WinCharSetFFFF-H"/>
                <w:b w:val="0"/>
                <w:bCs w:val="0"/>
                <w:color w:val="000000"/>
                <w:kern w:val="0"/>
                <w:sz w:val="28"/>
                <w:szCs w:val="28"/>
              </w:rPr>
              <w:t>(</w:t>
            </w:r>
            <w:r w:rsidRPr="00D52537">
              <w:rPr>
                <w:rFonts w:ascii="標楷體" w:eastAsia="標楷體" w:hAnsi="標楷體" w:cs="TTB7CF9C5CtCID-WinCharSetFFFF-H" w:hint="eastAsia"/>
                <w:b w:val="0"/>
                <w:bCs w:val="0"/>
                <w:color w:val="000000"/>
                <w:kern w:val="0"/>
                <w:sz w:val="28"/>
                <w:szCs w:val="28"/>
              </w:rPr>
              <w:t>經濟面或其他</w:t>
            </w:r>
            <w:r w:rsidRPr="00D52537">
              <w:rPr>
                <w:rFonts w:ascii="標楷體" w:eastAsia="標楷體" w:hAnsi="標楷體" w:cs="TTB7CF9C5CtCID-WinCharSetFFFF-H"/>
                <w:b w:val="0"/>
                <w:bCs w:val="0"/>
                <w:color w:val="000000"/>
                <w:kern w:val="0"/>
                <w:sz w:val="28"/>
                <w:szCs w:val="28"/>
              </w:rPr>
              <w:t>)</w:t>
            </w:r>
          </w:p>
        </w:tc>
        <w:tc>
          <w:tcPr>
            <w:tcW w:w="5560" w:type="dxa"/>
          </w:tcPr>
          <w:p w:rsidR="0066766E" w:rsidRPr="00D52537" w:rsidRDefault="0066766E" w:rsidP="00D52537">
            <w:pPr>
              <w:autoSpaceDE w:val="0"/>
              <w:autoSpaceDN w:val="0"/>
              <w:adjustRightInd w:val="0"/>
              <w:spacing w:line="400" w:lineRule="exact"/>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可能妨礙持有者行使權利之障礙而作成權利不具實質性之例包括</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但不限於</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會妨礙</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或制止</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持有者行使其權利之財務罰款及誘因；</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會產生財務障礙以妨礙</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或制止</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持有者行使其權利之執行或轉換價格；</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使權利不太可能被行使之條款及條件，例如狹幅限制其行使時點之條件；</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於被投資者之設立文件或於所適用法令中欠缺允許持有者行使其權利之明確、合理機制；</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權利之持有者無法取得行使其權利之必要資訊；</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會妨礙</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或制止</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持有者行使其權利之營運障礙或誘因</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例如缺乏其他經理人有意願或能夠提供專門服務或提供該服務並承擔現職經理人所持有之其他利益</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；及</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或</w:t>
            </w:r>
          </w:p>
          <w:p w:rsidR="0066766E" w:rsidRPr="00D52537" w:rsidRDefault="0066766E" w:rsidP="00D52537">
            <w:pPr>
              <w:pStyle w:val="a4"/>
              <w:numPr>
                <w:ilvl w:val="0"/>
                <w:numId w:val="9"/>
              </w:numPr>
              <w:autoSpaceDE w:val="0"/>
              <w:autoSpaceDN w:val="0"/>
              <w:adjustRightInd w:val="0"/>
              <w:spacing w:line="400" w:lineRule="exact"/>
              <w:ind w:leftChars="0"/>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妨礙持有者行使其權利之法令規定</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例如禁止國外投資者行使其權利</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w:t>
            </w:r>
          </w:p>
        </w:tc>
      </w:tr>
      <w:tr w:rsidR="0066766E" w:rsidRPr="00D52537" w:rsidTr="0066766E">
        <w:tc>
          <w:tcPr>
            <w:cnfStyle w:val="001000000000"/>
            <w:tcW w:w="2802" w:type="dxa"/>
          </w:tcPr>
          <w:p w:rsidR="0066766E" w:rsidRPr="00D52537" w:rsidRDefault="00826EB9" w:rsidP="00D52537">
            <w:pPr>
              <w:autoSpaceDE w:val="0"/>
              <w:autoSpaceDN w:val="0"/>
              <w:adjustRightInd w:val="0"/>
              <w:spacing w:before="100" w:beforeAutospacing="1" w:after="100" w:afterAutospacing="1" w:line="400" w:lineRule="exact"/>
              <w:rPr>
                <w:rFonts w:ascii="標楷體" w:eastAsia="標楷體" w:hAnsi="標楷體"/>
                <w:i/>
                <w:color w:val="auto"/>
                <w:sz w:val="28"/>
                <w:szCs w:val="28"/>
              </w:rPr>
            </w:pPr>
            <w:r w:rsidRPr="00D52537">
              <w:rPr>
                <w:rFonts w:ascii="標楷體" w:eastAsia="標楷體" w:hAnsi="標楷體" w:cs="TTB7CF9C5CtCID-WinCharSetFFFF-H" w:hint="eastAsia"/>
                <w:b w:val="0"/>
                <w:bCs w:val="0"/>
                <w:color w:val="000000"/>
                <w:kern w:val="0"/>
                <w:sz w:val="28"/>
                <w:szCs w:val="28"/>
              </w:rPr>
              <w:t>當權利之行使須有一</w:t>
            </w:r>
            <w:r w:rsidRPr="00D52537">
              <w:rPr>
                <w:rFonts w:ascii="標楷體" w:eastAsia="標楷體" w:hAnsi="標楷體" w:cs="TTB7CF9C5CtCID-WinCharSetFFFF-H" w:hint="eastAsia"/>
                <w:b w:val="0"/>
                <w:bCs w:val="0"/>
                <w:color w:val="000000"/>
                <w:kern w:val="0"/>
                <w:sz w:val="28"/>
                <w:szCs w:val="28"/>
              </w:rPr>
              <w:lastRenderedPageBreak/>
              <w:t>方以上之同意，或當權利由一方以上持有時，若各方選擇集體行使其權利時，是否有一機制存在能提供各方實際能力以集體行使其權利</w:t>
            </w:r>
          </w:p>
        </w:tc>
        <w:tc>
          <w:tcPr>
            <w:tcW w:w="5560" w:type="dxa"/>
          </w:tcPr>
          <w:p w:rsidR="00AF74C9" w:rsidRPr="00D52537" w:rsidRDefault="0066766E" w:rsidP="00D52537">
            <w:pPr>
              <w:autoSpaceDE w:val="0"/>
              <w:autoSpaceDN w:val="0"/>
              <w:adjustRightInd w:val="0"/>
              <w:spacing w:line="400" w:lineRule="exact"/>
              <w:cnfStyle w:val="0000000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lastRenderedPageBreak/>
              <w:t>當權利之行使須有一方以上之同意，或當權</w:t>
            </w:r>
            <w:r w:rsidRPr="00D52537">
              <w:rPr>
                <w:rFonts w:ascii="標楷體" w:eastAsia="標楷體" w:hAnsi="標楷體" w:cs="TTB7CF9C5CtCID-WinCharSetFFFF-H" w:hint="eastAsia"/>
                <w:color w:val="auto"/>
                <w:kern w:val="0"/>
                <w:sz w:val="28"/>
                <w:szCs w:val="28"/>
              </w:rPr>
              <w:lastRenderedPageBreak/>
              <w:t>利由一方以上持有時，若各方選擇集體行使其權利時，是否有一機制存在能提供各方實際能力以集體行使其權利。欠缺此種機制為權利可能不具實質性之一種指標。行使權利所需同意之</w:t>
            </w:r>
            <w:proofErr w:type="gramStart"/>
            <w:r w:rsidRPr="00D52537">
              <w:rPr>
                <w:rFonts w:ascii="標楷體" w:eastAsia="標楷體" w:hAnsi="標楷體" w:cs="TTB7CF9C5CtCID-WinCharSetFFFF-H" w:hint="eastAsia"/>
                <w:color w:val="auto"/>
                <w:kern w:val="0"/>
                <w:sz w:val="28"/>
                <w:szCs w:val="28"/>
              </w:rPr>
              <w:t>各方愈多</w:t>
            </w:r>
            <w:proofErr w:type="gramEnd"/>
            <w:r w:rsidRPr="00D52537">
              <w:rPr>
                <w:rFonts w:ascii="標楷體" w:eastAsia="標楷體" w:hAnsi="標楷體" w:cs="TTB7CF9C5CtCID-WinCharSetFFFF-H" w:hint="eastAsia"/>
                <w:color w:val="auto"/>
                <w:kern w:val="0"/>
                <w:sz w:val="28"/>
                <w:szCs w:val="28"/>
              </w:rPr>
              <w:t>，該等權利愈不可能具實質性。</w:t>
            </w:r>
          </w:p>
          <w:p w:rsidR="0066766E" w:rsidRPr="00D52537" w:rsidRDefault="0066766E" w:rsidP="00D52537">
            <w:pPr>
              <w:autoSpaceDE w:val="0"/>
              <w:autoSpaceDN w:val="0"/>
              <w:adjustRightInd w:val="0"/>
              <w:spacing w:line="400" w:lineRule="exact"/>
              <w:cnfStyle w:val="0000000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color w:val="auto"/>
                <w:kern w:val="0"/>
                <w:sz w:val="28"/>
                <w:szCs w:val="28"/>
              </w:rPr>
              <w:t>IFRS 10</w:t>
            </w:r>
            <w:r w:rsidRPr="00D52537">
              <w:rPr>
                <w:rFonts w:ascii="標楷體" w:eastAsia="標楷體" w:hAnsi="標楷體" w:cs="TTB7CF9C5CtCID-WinCharSetFFFF-H" w:hint="eastAsia"/>
                <w:color w:val="auto"/>
                <w:kern w:val="0"/>
                <w:sz w:val="28"/>
                <w:szCs w:val="28"/>
              </w:rPr>
              <w:t>指出，董事獨立於決策者之董事會可能充當眾多投資者集體行動以行使其權利之機制。因此可由獨立之董事會行使之罷黜權利相</w:t>
            </w:r>
            <w:proofErr w:type="gramStart"/>
            <w:r w:rsidRPr="00D52537">
              <w:rPr>
                <w:rFonts w:ascii="標楷體" w:eastAsia="標楷體" w:hAnsi="標楷體" w:cs="TTB7CF9C5CtCID-WinCharSetFFFF-H" w:hint="eastAsia"/>
                <w:color w:val="auto"/>
                <w:kern w:val="0"/>
                <w:sz w:val="28"/>
                <w:szCs w:val="28"/>
              </w:rPr>
              <w:t>較於若相同</w:t>
            </w:r>
            <w:proofErr w:type="gramEnd"/>
            <w:r w:rsidRPr="00D52537">
              <w:rPr>
                <w:rFonts w:ascii="標楷體" w:eastAsia="標楷體" w:hAnsi="標楷體" w:cs="TTB7CF9C5CtCID-WinCharSetFFFF-H" w:hint="eastAsia"/>
                <w:color w:val="auto"/>
                <w:kern w:val="0"/>
                <w:sz w:val="28"/>
                <w:szCs w:val="28"/>
              </w:rPr>
              <w:t>權利可由很多投資者個別行使，可能較具實質性。</w:t>
            </w:r>
            <w:r w:rsidRPr="00D52537">
              <w:rPr>
                <w:rFonts w:ascii="標楷體" w:eastAsia="標楷體" w:hAnsi="標楷體" w:cs="TTB7CF9C5CtCID-WinCharSetFFFF-H"/>
                <w:color w:val="auto"/>
                <w:kern w:val="0"/>
                <w:sz w:val="28"/>
                <w:szCs w:val="28"/>
              </w:rPr>
              <w:t xml:space="preserve"> </w:t>
            </w:r>
          </w:p>
        </w:tc>
      </w:tr>
      <w:tr w:rsidR="0066766E" w:rsidRPr="00D52537" w:rsidTr="0066766E">
        <w:trPr>
          <w:cnfStyle w:val="000000100000"/>
        </w:trPr>
        <w:tc>
          <w:tcPr>
            <w:cnfStyle w:val="001000000000"/>
            <w:tcW w:w="2802" w:type="dxa"/>
          </w:tcPr>
          <w:p w:rsidR="0066766E" w:rsidRPr="00D52537" w:rsidRDefault="0066766E" w:rsidP="00D52537">
            <w:pPr>
              <w:pStyle w:val="112"/>
              <w:spacing w:line="400" w:lineRule="exact"/>
              <w:rPr>
                <w:rFonts w:ascii="標楷體" w:hAnsi="標楷體"/>
                <w:i w:val="0"/>
                <w:color w:val="auto"/>
                <w:sz w:val="28"/>
                <w:szCs w:val="28"/>
              </w:rPr>
            </w:pPr>
            <w:r w:rsidRPr="00D52537">
              <w:rPr>
                <w:rFonts w:ascii="標楷體" w:hAnsi="標楷體" w:hint="eastAsia"/>
                <w:i w:val="0"/>
                <w:color w:val="auto"/>
                <w:sz w:val="28"/>
                <w:szCs w:val="28"/>
              </w:rPr>
              <w:lastRenderedPageBreak/>
              <w:t>持有者是否會自行使該等權利受益</w:t>
            </w:r>
          </w:p>
        </w:tc>
        <w:tc>
          <w:tcPr>
            <w:tcW w:w="5560" w:type="dxa"/>
          </w:tcPr>
          <w:p w:rsidR="0066766E" w:rsidRPr="00D52537" w:rsidRDefault="0066766E" w:rsidP="00D52537">
            <w:pPr>
              <w:autoSpaceDE w:val="0"/>
              <w:autoSpaceDN w:val="0"/>
              <w:adjustRightInd w:val="0"/>
              <w:spacing w:line="400" w:lineRule="exact"/>
              <w:cnfStyle w:val="000000100000"/>
              <w:rPr>
                <w:rFonts w:ascii="標楷體" w:eastAsia="標楷體" w:hAnsi="標楷體" w:cs="TTB7CF9C5CtCID-WinCharSetFFFF-H"/>
                <w:color w:val="auto"/>
                <w:kern w:val="0"/>
                <w:sz w:val="28"/>
                <w:szCs w:val="28"/>
              </w:rPr>
            </w:pPr>
            <w:r w:rsidRPr="00D52537">
              <w:rPr>
                <w:rFonts w:ascii="標楷體" w:eastAsia="標楷體" w:hAnsi="標楷體" w:cs="TTB7CF9C5CtCID-WinCharSetFFFF-H" w:hint="eastAsia"/>
                <w:color w:val="auto"/>
                <w:kern w:val="0"/>
                <w:sz w:val="28"/>
                <w:szCs w:val="28"/>
              </w:rPr>
              <w:t>持有權利之各方若能自行使該等權利受益，則權利較可能具實質性。當一方持有被投資者潛在表決權</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例如股份選擇權、認股權證及可轉換工具</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w:t>
            </w:r>
            <w:r w:rsidRPr="00D52537">
              <w:rPr>
                <w:rFonts w:ascii="標楷體" w:eastAsia="標楷體" w:hAnsi="標楷體" w:cs="TTB7CF9C5CtCID-WinCharSetFFFF-H"/>
                <w:color w:val="auto"/>
                <w:kern w:val="0"/>
                <w:sz w:val="28"/>
                <w:szCs w:val="28"/>
              </w:rPr>
              <w:t>IFRS 10</w:t>
            </w:r>
            <w:r w:rsidRPr="00D52537">
              <w:rPr>
                <w:rFonts w:ascii="標楷體" w:eastAsia="標楷體" w:hAnsi="標楷體" w:cs="TTB7CF9C5CtCID-WinCharSetFFFF-H" w:hint="eastAsia"/>
                <w:color w:val="auto"/>
                <w:kern w:val="0"/>
                <w:sz w:val="28"/>
                <w:szCs w:val="28"/>
              </w:rPr>
              <w:t>指出該持有者應考量工具之行使或轉換價格以決定是否會自金融工具之行使或轉換受益。當金融工具係「價內」，或投資者因其他理由</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例如藉由實現投資者及被投資者間之綜效</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會自金融工具之行使或轉換受益時，潛在表決權之條款及條件可能更具實質性</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參閱</w:t>
            </w:r>
            <w:r w:rsidR="003E7BBF" w:rsidRPr="00D52537">
              <w:rPr>
                <w:rFonts w:ascii="標楷體" w:eastAsia="標楷體" w:hAnsi="標楷體" w:cs="TTB7CF9C5CtCID-WinCharSetFFFF-H" w:hint="eastAsia"/>
                <w:color w:val="auto"/>
                <w:kern w:val="0"/>
                <w:sz w:val="28"/>
                <w:szCs w:val="28"/>
              </w:rPr>
              <w:t>1.</w:t>
            </w:r>
            <w:r w:rsidR="00826EB9" w:rsidRPr="00D52537">
              <w:rPr>
                <w:rFonts w:ascii="標楷體" w:eastAsia="標楷體" w:hAnsi="標楷體" w:cs="TTB7CF9C5CtCID-WinCharSetFFFF-H" w:hint="eastAsia"/>
                <w:color w:val="auto"/>
                <w:kern w:val="0"/>
                <w:sz w:val="28"/>
                <w:szCs w:val="28"/>
              </w:rPr>
              <w:t>2.</w:t>
            </w:r>
            <w:r w:rsidR="003E7BBF" w:rsidRPr="00D52537">
              <w:rPr>
                <w:rFonts w:ascii="標楷體" w:eastAsia="標楷體" w:hAnsi="標楷體" w:cs="TTB7CF9C5CtCID-WinCharSetFFFF-H" w:hint="eastAsia"/>
                <w:color w:val="auto"/>
                <w:kern w:val="0"/>
                <w:sz w:val="28"/>
                <w:szCs w:val="28"/>
              </w:rPr>
              <w:t>3.3.2</w:t>
            </w:r>
            <w:r w:rsidRPr="00D52537">
              <w:rPr>
                <w:rFonts w:ascii="標楷體" w:eastAsia="標楷體" w:hAnsi="標楷體" w:cs="TTB7CF9C5CtCID-WinCharSetFFFF-H" w:hint="eastAsia"/>
                <w:color w:val="auto"/>
                <w:kern w:val="0"/>
                <w:sz w:val="28"/>
                <w:szCs w:val="28"/>
              </w:rPr>
              <w:t>單元</w:t>
            </w:r>
            <w:r w:rsidRPr="00D52537">
              <w:rPr>
                <w:rFonts w:ascii="標楷體" w:eastAsia="標楷體" w:hAnsi="標楷體" w:cs="TTB7CF9C5CtCID-WinCharSetFFFF-H"/>
                <w:color w:val="auto"/>
                <w:kern w:val="0"/>
                <w:sz w:val="28"/>
                <w:szCs w:val="28"/>
              </w:rPr>
              <w:t>)</w:t>
            </w:r>
            <w:r w:rsidRPr="00D52537">
              <w:rPr>
                <w:rFonts w:ascii="標楷體" w:eastAsia="標楷體" w:hAnsi="標楷體" w:cs="TTB7CF9C5CtCID-WinCharSetFFFF-H" w:hint="eastAsia"/>
                <w:color w:val="auto"/>
                <w:kern w:val="0"/>
                <w:sz w:val="28"/>
                <w:szCs w:val="28"/>
              </w:rPr>
              <w:t>。</w:t>
            </w:r>
            <w:r w:rsidRPr="00D52537" w:rsidDel="00161FE1">
              <w:rPr>
                <w:rFonts w:ascii="標楷體" w:eastAsia="標楷體" w:hAnsi="標楷體" w:cs="TTB7CF9C5CtCID-WinCharSetFFFF-H"/>
                <w:color w:val="auto"/>
                <w:kern w:val="0"/>
                <w:sz w:val="28"/>
                <w:szCs w:val="28"/>
              </w:rPr>
              <w:t xml:space="preserve"> </w:t>
            </w:r>
          </w:p>
        </w:tc>
      </w:tr>
      <w:tr w:rsidR="0066766E" w:rsidRPr="00D52537" w:rsidTr="0066766E">
        <w:tc>
          <w:tcPr>
            <w:cnfStyle w:val="001000000000"/>
            <w:tcW w:w="2802" w:type="dxa"/>
          </w:tcPr>
          <w:p w:rsidR="0066766E" w:rsidRPr="00D52537" w:rsidRDefault="0066766E" w:rsidP="00D52537">
            <w:pPr>
              <w:pStyle w:val="112"/>
              <w:spacing w:line="400" w:lineRule="exact"/>
              <w:rPr>
                <w:rFonts w:ascii="標楷體" w:hAnsi="標楷體"/>
                <w:i w:val="0"/>
                <w:color w:val="auto"/>
                <w:sz w:val="28"/>
                <w:szCs w:val="28"/>
              </w:rPr>
            </w:pPr>
            <w:r w:rsidRPr="00D52537">
              <w:rPr>
                <w:rFonts w:ascii="標楷體" w:hAnsi="標楷體" w:hint="eastAsia"/>
                <w:i w:val="0"/>
                <w:color w:val="auto"/>
                <w:sz w:val="28"/>
                <w:szCs w:val="28"/>
              </w:rPr>
              <w:t>作有關</w:t>
            </w:r>
            <w:proofErr w:type="gramStart"/>
            <w:r w:rsidRPr="00D52537">
              <w:rPr>
                <w:rFonts w:ascii="標楷體" w:hAnsi="標楷體" w:hint="eastAsia"/>
                <w:i w:val="0"/>
                <w:color w:val="auto"/>
                <w:sz w:val="28"/>
                <w:szCs w:val="28"/>
              </w:rPr>
              <w:t>攸</w:t>
            </w:r>
            <w:proofErr w:type="gramEnd"/>
            <w:r w:rsidRPr="00D52537">
              <w:rPr>
                <w:rFonts w:ascii="標楷體" w:hAnsi="標楷體" w:hint="eastAsia"/>
                <w:i w:val="0"/>
                <w:color w:val="auto"/>
                <w:sz w:val="28"/>
                <w:szCs w:val="28"/>
              </w:rPr>
              <w:t>關活動方向之決策時，權利是否可行使</w:t>
            </w:r>
          </w:p>
          <w:p w:rsidR="0066766E" w:rsidRPr="00D52537" w:rsidRDefault="0066766E" w:rsidP="00D52537">
            <w:pPr>
              <w:pStyle w:val="112"/>
              <w:spacing w:line="400" w:lineRule="exact"/>
              <w:rPr>
                <w:rFonts w:ascii="標楷體" w:hAnsi="標楷體"/>
                <w:i w:val="0"/>
                <w:color w:val="auto"/>
                <w:sz w:val="28"/>
                <w:szCs w:val="28"/>
                <w:lang w:val="en-US"/>
              </w:rPr>
            </w:pPr>
          </w:p>
        </w:tc>
        <w:tc>
          <w:tcPr>
            <w:tcW w:w="5560" w:type="dxa"/>
          </w:tcPr>
          <w:p w:rsidR="0066766E" w:rsidRPr="00D52537" w:rsidRDefault="0066766E" w:rsidP="00D52537">
            <w:pPr>
              <w:autoSpaceDE w:val="0"/>
              <w:autoSpaceDN w:val="0"/>
              <w:adjustRightInd w:val="0"/>
              <w:spacing w:line="400" w:lineRule="exact"/>
              <w:cnfStyle w:val="000000000000"/>
              <w:rPr>
                <w:rFonts w:ascii="標楷體" w:eastAsia="標楷體" w:hAnsi="標楷體" w:cs="TTB7CF9C5CtCID-WinCharSetFFFF-H"/>
                <w:color w:val="auto"/>
                <w:kern w:val="0"/>
                <w:sz w:val="28"/>
                <w:szCs w:val="28"/>
              </w:rPr>
            </w:pPr>
            <w:r w:rsidRPr="00D52537">
              <w:rPr>
                <w:rFonts w:ascii="標楷體" w:eastAsia="標楷體" w:hAnsi="標楷體" w:cs="TimesNewRoman" w:hint="eastAsia"/>
                <w:color w:val="auto"/>
                <w:kern w:val="0"/>
                <w:sz w:val="28"/>
                <w:szCs w:val="28"/>
                <w:lang w:val="en-GB"/>
              </w:rPr>
              <w:t>權利可視為具實質性之另一項應符合之條件為，作有關</w:t>
            </w:r>
            <w:proofErr w:type="gramStart"/>
            <w:r w:rsidRPr="00D52537">
              <w:rPr>
                <w:rFonts w:ascii="標楷體" w:eastAsia="標楷體" w:hAnsi="標楷體" w:cs="TimesNewRoman" w:hint="eastAsia"/>
                <w:color w:val="auto"/>
                <w:kern w:val="0"/>
                <w:sz w:val="28"/>
                <w:szCs w:val="28"/>
                <w:lang w:val="en-GB"/>
              </w:rPr>
              <w:t>攸</w:t>
            </w:r>
            <w:proofErr w:type="gramEnd"/>
            <w:r w:rsidRPr="00D52537">
              <w:rPr>
                <w:rFonts w:ascii="標楷體" w:eastAsia="標楷體" w:hAnsi="標楷體" w:cs="TimesNewRoman" w:hint="eastAsia"/>
                <w:color w:val="auto"/>
                <w:kern w:val="0"/>
                <w:sz w:val="28"/>
                <w:szCs w:val="28"/>
                <w:lang w:val="en-GB"/>
              </w:rPr>
              <w:t>關活動方向之決策時，權利必須可行使。一般而言，</w:t>
            </w:r>
            <w:r w:rsidRPr="00D52537">
              <w:rPr>
                <w:rFonts w:ascii="標楷體" w:eastAsia="標楷體" w:hAnsi="標楷體" w:cs="TTB7CF9C5CtCID-WinCharSetFFFF-H" w:hint="eastAsia"/>
                <w:color w:val="auto"/>
                <w:kern w:val="0"/>
                <w:sz w:val="28"/>
                <w:szCs w:val="28"/>
              </w:rPr>
              <w:t>為具實質性，通常權利必須目前可行使。惟有時即使權利目前不可行使，權利亦可具實質性。</w:t>
            </w:r>
            <w:r w:rsidRPr="00D52537" w:rsidDel="00161FE1">
              <w:rPr>
                <w:rFonts w:ascii="標楷體" w:eastAsia="標楷體" w:hAnsi="標楷體" w:cs="TTB7CF9C5CtCID-WinCharSetFFFF-H"/>
                <w:color w:val="auto"/>
                <w:kern w:val="0"/>
                <w:sz w:val="28"/>
                <w:szCs w:val="28"/>
              </w:rPr>
              <w:t xml:space="preserve"> </w:t>
            </w:r>
          </w:p>
        </w:tc>
      </w:tr>
    </w:tbl>
    <w:p w:rsidR="00DB2700" w:rsidRPr="00D52537" w:rsidRDefault="00DB2700"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color w:val="000000"/>
          <w:kern w:val="0"/>
          <w:sz w:val="32"/>
          <w:szCs w:val="32"/>
        </w:rPr>
        <w:t xml:space="preserve">IAS 27 </w:t>
      </w:r>
      <w:r w:rsidRPr="00D52537">
        <w:rPr>
          <w:rFonts w:ascii="標楷體" w:eastAsia="標楷體" w:hAnsi="標楷體" w:cs="TTB7CF9C5CtCID-WinCharSetFFFF-H" w:hint="eastAsia"/>
          <w:color w:val="000000"/>
          <w:kern w:val="0"/>
          <w:sz w:val="32"/>
          <w:szCs w:val="32"/>
        </w:rPr>
        <w:t>在考量控制時，僅考慮目前已可行使之潛在表決權，</w:t>
      </w:r>
      <w:proofErr w:type="gramStart"/>
      <w:r w:rsidRPr="00D52537">
        <w:rPr>
          <w:rFonts w:ascii="標楷體" w:eastAsia="標楷體" w:hAnsi="標楷體" w:cs="TTB7CF9C5CtCID-WinCharSetFFFF-H" w:hint="eastAsia"/>
          <w:color w:val="000000"/>
          <w:kern w:val="0"/>
          <w:sz w:val="32"/>
          <w:szCs w:val="32"/>
        </w:rPr>
        <w:t>不</w:t>
      </w:r>
      <w:proofErr w:type="gramEnd"/>
      <w:r w:rsidRPr="00D52537">
        <w:rPr>
          <w:rFonts w:ascii="標楷體" w:eastAsia="標楷體" w:hAnsi="標楷體" w:cs="TTB7CF9C5CtCID-WinCharSetFFFF-H" w:hint="eastAsia"/>
          <w:color w:val="000000"/>
          <w:kern w:val="0"/>
          <w:sz w:val="32"/>
          <w:szCs w:val="32"/>
        </w:rPr>
        <w:t>考量管理階層執行之意圖及企業之財務能力</w:t>
      </w:r>
      <w:r w:rsidR="00C705CB" w:rsidRPr="00D52537">
        <w:rPr>
          <w:rFonts w:ascii="標楷體" w:eastAsia="標楷體" w:hAnsi="標楷體" w:cs="TTB7CF9C5CtCID-WinCharSetFFFF-H" w:hint="eastAsia"/>
          <w:color w:val="000000"/>
          <w:kern w:val="0"/>
          <w:sz w:val="32"/>
          <w:szCs w:val="32"/>
        </w:rPr>
        <w:t>，只要是目前可以行使，於評估控制時，即要納入評估。</w:t>
      </w:r>
    </w:p>
    <w:p w:rsidR="00C705CB" w:rsidRDefault="00DB2700" w:rsidP="00D52537">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22"/>
        </w:rPr>
      </w:pPr>
      <w:r w:rsidRPr="00D52537">
        <w:rPr>
          <w:rFonts w:ascii="標楷體" w:eastAsia="標楷體" w:hAnsi="標楷體" w:cs="TTB7CF9C5CtCID-WinCharSetFFFF-H" w:hint="eastAsia"/>
          <w:color w:val="000000"/>
          <w:kern w:val="0"/>
          <w:sz w:val="32"/>
          <w:szCs w:val="32"/>
        </w:rPr>
        <w:t>IFRS 10</w:t>
      </w:r>
      <w:r w:rsidR="000A3B6C" w:rsidRPr="00D52537">
        <w:rPr>
          <w:rFonts w:ascii="標楷體" w:eastAsia="標楷體" w:hAnsi="標楷體" w:cs="TTB7CF9C5CtCID-WinCharSetFFFF-H" w:hint="eastAsia"/>
          <w:color w:val="000000"/>
          <w:kern w:val="0"/>
          <w:sz w:val="32"/>
          <w:szCs w:val="32"/>
        </w:rPr>
        <w:t>係規定</w:t>
      </w:r>
      <w:r w:rsidRPr="00D52537">
        <w:rPr>
          <w:rFonts w:ascii="標楷體" w:eastAsia="標楷體" w:hAnsi="標楷體" w:cs="TTB7CF9C5CtCID-WinCharSetFFFF-H" w:hint="eastAsia"/>
          <w:color w:val="000000"/>
          <w:kern w:val="0"/>
          <w:sz w:val="32"/>
          <w:szCs w:val="32"/>
        </w:rPr>
        <w:t>，</w:t>
      </w:r>
      <w:r w:rsidR="000A3B6C" w:rsidRPr="00D52537">
        <w:rPr>
          <w:rFonts w:ascii="標楷體" w:eastAsia="標楷體" w:hAnsi="標楷體" w:cs="TTB7CF9C5CtCID-WinCharSetFFFF-H" w:hint="eastAsia"/>
          <w:color w:val="000000"/>
          <w:kern w:val="0"/>
          <w:sz w:val="32"/>
          <w:szCs w:val="32"/>
        </w:rPr>
        <w:t>應</w:t>
      </w:r>
      <w:r w:rsidRPr="00D52537">
        <w:rPr>
          <w:rFonts w:ascii="標楷體" w:eastAsia="標楷體" w:hAnsi="標楷體" w:cs="TTB7CF9C5CtCID-WinCharSetFFFF-H" w:hint="eastAsia"/>
          <w:color w:val="000000"/>
          <w:kern w:val="0"/>
          <w:sz w:val="32"/>
          <w:szCs w:val="32"/>
        </w:rPr>
        <w:t>考量</w:t>
      </w:r>
      <w:r w:rsidR="00C705CB" w:rsidRPr="00D52537">
        <w:rPr>
          <w:rFonts w:ascii="標楷體" w:eastAsia="標楷體" w:hAnsi="標楷體" w:cs="TTB7CF9C5CtCID-WinCharSetFFFF-H" w:hint="eastAsia"/>
          <w:color w:val="000000"/>
          <w:kern w:val="0"/>
          <w:sz w:val="32"/>
          <w:szCs w:val="32"/>
        </w:rPr>
        <w:t>潛在表決權</w:t>
      </w:r>
      <w:r w:rsidRPr="00D52537">
        <w:rPr>
          <w:rFonts w:ascii="標楷體" w:eastAsia="標楷體" w:hAnsi="標楷體" w:cs="TTB7CF9C5CtCID-WinCharSetFFFF-H" w:hint="eastAsia"/>
          <w:color w:val="000000"/>
          <w:kern w:val="0"/>
          <w:sz w:val="32"/>
          <w:szCs w:val="32"/>
        </w:rPr>
        <w:t>是否具實質性，要考量條件、條款、</w:t>
      </w:r>
      <w:r w:rsidR="000A3B6C" w:rsidRPr="00D52537">
        <w:rPr>
          <w:rFonts w:ascii="標楷體" w:eastAsia="標楷體" w:hAnsi="標楷體" w:cs="TTB7CF9C5CtCID-WinCharSetFFFF-H" w:hint="eastAsia"/>
          <w:color w:val="000000"/>
          <w:kern w:val="0"/>
          <w:sz w:val="32"/>
          <w:szCs w:val="32"/>
        </w:rPr>
        <w:t>行使</w:t>
      </w:r>
      <w:r w:rsidRPr="00D52537">
        <w:rPr>
          <w:rFonts w:ascii="標楷體" w:eastAsia="標楷體" w:hAnsi="標楷體" w:cs="TTB7CF9C5CtCID-WinCharSetFFFF-H" w:hint="eastAsia"/>
          <w:color w:val="000000"/>
          <w:kern w:val="0"/>
          <w:sz w:val="32"/>
          <w:szCs w:val="32"/>
        </w:rPr>
        <w:t>能力等，比方說</w:t>
      </w:r>
      <w:r w:rsidR="000A3B6C" w:rsidRPr="00D52537">
        <w:rPr>
          <w:rFonts w:ascii="標楷體" w:eastAsia="標楷體" w:hAnsi="標楷體" w:cs="TTB7CF9C5CtCID-WinCharSetFFFF-H" w:hint="eastAsia"/>
          <w:color w:val="000000"/>
          <w:kern w:val="0"/>
          <w:sz w:val="32"/>
          <w:szCs w:val="32"/>
        </w:rPr>
        <w:t>選擇權</w:t>
      </w:r>
      <w:proofErr w:type="gramStart"/>
      <w:r w:rsidR="000A3B6C" w:rsidRPr="00D52537">
        <w:rPr>
          <w:rFonts w:ascii="標楷體" w:eastAsia="標楷體" w:hAnsi="標楷體" w:cs="TTB7CF9C5CtCID-WinCharSetFFFF-H" w:hint="eastAsia"/>
          <w:color w:val="000000"/>
          <w:kern w:val="0"/>
          <w:sz w:val="32"/>
          <w:szCs w:val="32"/>
        </w:rPr>
        <w:t>在深價外</w:t>
      </w:r>
      <w:proofErr w:type="gramEnd"/>
      <w:r w:rsidR="000A3B6C" w:rsidRPr="00D52537">
        <w:rPr>
          <w:rFonts w:ascii="標楷體" w:eastAsia="標楷體" w:hAnsi="標楷體" w:cs="TTB7CF9C5CtCID-WinCharSetFFFF-H" w:hint="eastAsia"/>
          <w:color w:val="000000"/>
          <w:kern w:val="0"/>
          <w:sz w:val="32"/>
          <w:szCs w:val="32"/>
        </w:rPr>
        <w:t>之情況下</w:t>
      </w:r>
      <w:r w:rsidRPr="00D52537">
        <w:rPr>
          <w:rFonts w:ascii="標楷體" w:eastAsia="標楷體" w:hAnsi="標楷體" w:cs="TTB7CF9C5CtCID-WinCharSetFFFF-H" w:hint="eastAsia"/>
          <w:color w:val="000000"/>
          <w:kern w:val="0"/>
          <w:sz w:val="32"/>
          <w:szCs w:val="32"/>
        </w:rPr>
        <w:t>應該就不會去行使，也就不具有實質性，另外</w:t>
      </w:r>
      <w:r w:rsidR="000A3B6C" w:rsidRPr="00D52537">
        <w:rPr>
          <w:rFonts w:ascii="標楷體" w:eastAsia="標楷體" w:hAnsi="標楷體" w:cs="TTB7CF9C5CtCID-WinCharSetFFFF-H" w:hint="eastAsia"/>
          <w:color w:val="000000"/>
          <w:kern w:val="0"/>
          <w:sz w:val="32"/>
          <w:szCs w:val="32"/>
        </w:rPr>
        <w:t>，並不限</w:t>
      </w:r>
      <w:r w:rsidR="000A3B6C" w:rsidRPr="00D52537">
        <w:rPr>
          <w:rFonts w:ascii="標楷體" w:eastAsia="標楷體" w:hAnsi="標楷體" w:cs="TTB7CF9C5CtCID-WinCharSetFFFF-H" w:hint="eastAsia"/>
          <w:color w:val="000000"/>
          <w:kern w:val="0"/>
          <w:sz w:val="32"/>
          <w:szCs w:val="32"/>
        </w:rPr>
        <w:lastRenderedPageBreak/>
        <w:t>於目前已可行使，只要</w:t>
      </w:r>
      <w:r w:rsidRPr="00D52537">
        <w:rPr>
          <w:rFonts w:ascii="標楷體" w:eastAsia="標楷體" w:hAnsi="標楷體" w:cs="TTB7CF9C5CtCID-WinCharSetFFFF-H" w:hint="eastAsia"/>
          <w:color w:val="000000"/>
          <w:kern w:val="0"/>
          <w:sz w:val="32"/>
          <w:szCs w:val="32"/>
        </w:rPr>
        <w:t>作有關</w:t>
      </w:r>
      <w:proofErr w:type="gramStart"/>
      <w:r w:rsidRPr="00D52537">
        <w:rPr>
          <w:rFonts w:ascii="標楷體" w:eastAsia="標楷體" w:hAnsi="標楷體" w:cs="TTB7CF9C5CtCID-WinCharSetFFFF-H" w:hint="eastAsia"/>
          <w:color w:val="000000"/>
          <w:kern w:val="0"/>
          <w:sz w:val="32"/>
          <w:szCs w:val="32"/>
        </w:rPr>
        <w:t>攸</w:t>
      </w:r>
      <w:proofErr w:type="gramEnd"/>
      <w:r w:rsidRPr="00D52537">
        <w:rPr>
          <w:rFonts w:ascii="標楷體" w:eastAsia="標楷體" w:hAnsi="標楷體" w:cs="TTB7CF9C5CtCID-WinCharSetFFFF-H" w:hint="eastAsia"/>
          <w:color w:val="000000"/>
          <w:kern w:val="0"/>
          <w:sz w:val="32"/>
          <w:szCs w:val="32"/>
        </w:rPr>
        <w:t>關活動之決策</w:t>
      </w:r>
      <w:r w:rsidR="003C23FB" w:rsidRPr="00D52537">
        <w:rPr>
          <w:rFonts w:ascii="標楷體" w:eastAsia="標楷體" w:hAnsi="標楷體" w:cs="TTB7CF9C5CtCID-WinCharSetFFFF-H" w:hint="eastAsia"/>
          <w:color w:val="000000"/>
          <w:kern w:val="0"/>
          <w:sz w:val="32"/>
          <w:szCs w:val="32"/>
        </w:rPr>
        <w:t>時</w:t>
      </w:r>
      <w:r w:rsidRPr="00D52537">
        <w:rPr>
          <w:rFonts w:ascii="標楷體" w:eastAsia="標楷體" w:hAnsi="標楷體" w:cs="TTB7CF9C5CtCID-WinCharSetFFFF-H" w:hint="eastAsia"/>
          <w:color w:val="000000"/>
          <w:kern w:val="0"/>
          <w:sz w:val="32"/>
          <w:szCs w:val="32"/>
        </w:rPr>
        <w:t>，權利可以行使，在評估控制的時候，</w:t>
      </w:r>
      <w:r w:rsidR="000A3B6C" w:rsidRPr="00D52537">
        <w:rPr>
          <w:rFonts w:ascii="標楷體" w:eastAsia="標楷體" w:hAnsi="標楷體" w:cs="TTB7CF9C5CtCID-WinCharSetFFFF-H" w:hint="eastAsia"/>
          <w:color w:val="000000"/>
          <w:kern w:val="0"/>
          <w:sz w:val="32"/>
          <w:szCs w:val="32"/>
        </w:rPr>
        <w:t>即應</w:t>
      </w:r>
      <w:r w:rsidRPr="00D52537">
        <w:rPr>
          <w:rFonts w:ascii="標楷體" w:eastAsia="標楷體" w:hAnsi="標楷體" w:cs="TTB7CF9C5CtCID-WinCharSetFFFF-H" w:hint="eastAsia"/>
          <w:color w:val="000000"/>
          <w:kern w:val="0"/>
          <w:sz w:val="32"/>
          <w:szCs w:val="32"/>
        </w:rPr>
        <w:t>納入考量</w:t>
      </w:r>
      <w:r w:rsidR="00C705CB" w:rsidRPr="00D52537">
        <w:rPr>
          <w:rFonts w:ascii="標楷體" w:eastAsia="標楷體" w:hAnsi="標楷體" w:cs="TTB7CF9C5CtCID-WinCharSetFFFF-H" w:hint="eastAsia"/>
          <w:color w:val="000000"/>
          <w:kern w:val="0"/>
          <w:sz w:val="32"/>
          <w:szCs w:val="32"/>
        </w:rPr>
        <w:t>。</w:t>
      </w:r>
    </w:p>
    <w:p w:rsidR="00A14DF6" w:rsidRPr="00D52537" w:rsidRDefault="00826EB9" w:rsidP="0055564D">
      <w:pPr>
        <w:autoSpaceDE w:val="0"/>
        <w:autoSpaceDN w:val="0"/>
        <w:adjustRightInd w:val="0"/>
        <w:spacing w:before="100" w:beforeAutospacing="1" w:after="100" w:afterAutospacing="1" w:line="400" w:lineRule="exact"/>
        <w:ind w:firstLineChars="200" w:firstLine="640"/>
        <w:rPr>
          <w:rFonts w:eastAsia="標楷體" w:cs="TTB7CF9C5CtCID-WinCharSetFFFF-H"/>
          <w:color w:val="000000"/>
          <w:kern w:val="0"/>
          <w:sz w:val="32"/>
          <w:szCs w:val="32"/>
        </w:rPr>
      </w:pPr>
      <w:r w:rsidRPr="00D52537">
        <w:rPr>
          <w:rFonts w:eastAsia="標楷體" w:cs="TTB7CF9C5CtCID-WinCharSetFFFF-H" w:hint="eastAsia"/>
          <w:color w:val="000000"/>
          <w:kern w:val="0"/>
          <w:sz w:val="32"/>
          <w:szCs w:val="32"/>
        </w:rPr>
        <w:t>IFRS 10</w:t>
      </w:r>
      <w:r w:rsidR="00641CCA" w:rsidRPr="00D52537">
        <w:rPr>
          <w:rFonts w:eastAsia="標楷體" w:cs="Calibri" w:hint="eastAsia"/>
          <w:kern w:val="0"/>
          <w:sz w:val="32"/>
          <w:szCs w:val="32"/>
          <w:lang w:val="en-GB"/>
        </w:rPr>
        <w:t>附錄</w:t>
      </w:r>
      <w:r w:rsidR="00641CCA" w:rsidRPr="00D52537">
        <w:rPr>
          <w:rFonts w:eastAsia="標楷體" w:cs="Calibri"/>
          <w:kern w:val="0"/>
          <w:sz w:val="32"/>
          <w:szCs w:val="32"/>
          <w:lang w:val="en-GB"/>
        </w:rPr>
        <w:t>B</w:t>
      </w:r>
      <w:proofErr w:type="gramStart"/>
      <w:r w:rsidR="00641CCA" w:rsidRPr="00D52537">
        <w:rPr>
          <w:rFonts w:eastAsia="標楷體" w:cs="Calibri" w:hint="eastAsia"/>
          <w:kern w:val="0"/>
          <w:sz w:val="32"/>
          <w:szCs w:val="32"/>
          <w:lang w:val="en-GB"/>
        </w:rPr>
        <w:t>釋例</w:t>
      </w:r>
      <w:proofErr w:type="gramEnd"/>
      <w:r w:rsidR="00641CCA" w:rsidRPr="00D52537">
        <w:rPr>
          <w:rFonts w:eastAsia="標楷體" w:cs="Calibri"/>
          <w:kern w:val="0"/>
          <w:sz w:val="32"/>
          <w:szCs w:val="32"/>
          <w:lang w:val="en-GB"/>
        </w:rPr>
        <w:t>3-3D</w:t>
      </w:r>
      <w:r w:rsidRPr="00D52537">
        <w:rPr>
          <w:rFonts w:eastAsia="標楷體" w:cs="TTB7CF9C5CtCID-WinCharSetFFFF-H" w:hint="eastAsia"/>
          <w:color w:val="000000"/>
          <w:kern w:val="0"/>
          <w:sz w:val="32"/>
          <w:szCs w:val="32"/>
        </w:rPr>
        <w:t>對</w:t>
      </w:r>
      <w:r w:rsidR="00A14DF6" w:rsidRPr="00D52537">
        <w:rPr>
          <w:rFonts w:eastAsia="標楷體" w:cs="TTB7CF9C5CtCID-WinCharSetFFFF-H" w:hint="eastAsia"/>
          <w:color w:val="000000"/>
          <w:kern w:val="0"/>
          <w:sz w:val="32"/>
          <w:szCs w:val="32"/>
        </w:rPr>
        <w:t>上述原則</w:t>
      </w:r>
      <w:r w:rsidR="00DB2700" w:rsidRPr="00D52537">
        <w:rPr>
          <w:rFonts w:eastAsia="標楷體" w:cs="TTB7CF9C5CtCID-WinCharSetFFFF-H" w:hint="eastAsia"/>
          <w:color w:val="000000"/>
          <w:kern w:val="0"/>
          <w:sz w:val="32"/>
          <w:szCs w:val="32"/>
        </w:rPr>
        <w:t>列</w:t>
      </w:r>
      <w:proofErr w:type="gramStart"/>
      <w:r w:rsidR="00DB2700" w:rsidRPr="00D52537">
        <w:rPr>
          <w:rFonts w:eastAsia="標楷體" w:cs="TTB7CF9C5CtCID-WinCharSetFFFF-H" w:hint="eastAsia"/>
          <w:color w:val="000000"/>
          <w:kern w:val="0"/>
          <w:sz w:val="32"/>
          <w:szCs w:val="32"/>
        </w:rPr>
        <w:t>有</w:t>
      </w:r>
      <w:r w:rsidR="00A14DF6" w:rsidRPr="00D52537">
        <w:rPr>
          <w:rFonts w:eastAsia="標楷體" w:cs="TTB7CF9C5CtCID-WinCharSetFFFF-H" w:hint="eastAsia"/>
          <w:color w:val="000000"/>
          <w:kern w:val="0"/>
          <w:sz w:val="32"/>
          <w:szCs w:val="32"/>
        </w:rPr>
        <w:t>釋例</w:t>
      </w:r>
      <w:proofErr w:type="gramEnd"/>
      <w:r w:rsidR="00DB2700" w:rsidRPr="00D52537">
        <w:rPr>
          <w:rFonts w:eastAsia="標楷體" w:cs="TTB7CF9C5CtCID-WinCharSetFFFF-H" w:hint="eastAsia"/>
          <w:color w:val="000000"/>
          <w:kern w:val="0"/>
          <w:sz w:val="32"/>
          <w:szCs w:val="32"/>
        </w:rPr>
        <w:t>，舉其中關於潛在表決權</w:t>
      </w:r>
      <w:proofErr w:type="gramStart"/>
      <w:r w:rsidR="00DB2700" w:rsidRPr="00D52537">
        <w:rPr>
          <w:rFonts w:eastAsia="標楷體" w:cs="TTB7CF9C5CtCID-WinCharSetFFFF-H" w:hint="eastAsia"/>
          <w:color w:val="000000"/>
          <w:kern w:val="0"/>
          <w:sz w:val="32"/>
          <w:szCs w:val="32"/>
        </w:rPr>
        <w:t>之釋例</w:t>
      </w:r>
      <w:r w:rsidR="00A14DF6" w:rsidRPr="00D52537">
        <w:rPr>
          <w:rFonts w:eastAsia="標楷體" w:cs="TTB7CF9C5CtCID-WinCharSetFFFF-H" w:hint="eastAsia"/>
          <w:color w:val="000000"/>
          <w:kern w:val="0"/>
          <w:sz w:val="32"/>
          <w:szCs w:val="32"/>
        </w:rPr>
        <w:t>說明</w:t>
      </w:r>
      <w:proofErr w:type="gramEnd"/>
      <w:r w:rsidR="00DB2700" w:rsidRPr="00D52537">
        <w:rPr>
          <w:rFonts w:eastAsia="標楷體" w:cs="TTB7CF9C5CtCID-WinCharSetFFFF-H" w:hint="eastAsia"/>
          <w:color w:val="000000"/>
          <w:kern w:val="0"/>
          <w:sz w:val="32"/>
          <w:szCs w:val="32"/>
        </w:rPr>
        <w:t>如下</w:t>
      </w:r>
      <w:r w:rsidR="00A14DF6" w:rsidRPr="00D52537">
        <w:rPr>
          <w:rFonts w:eastAsia="標楷體" w:cs="TTB7CF9C5CtCID-WinCharSetFFFF-H" w:hint="eastAsia"/>
          <w:color w:val="000000"/>
          <w:kern w:val="0"/>
          <w:sz w:val="32"/>
          <w:szCs w:val="32"/>
        </w:rPr>
        <w:t>。</w:t>
      </w:r>
    </w:p>
    <w:p w:rsidR="003C23FB" w:rsidRPr="00D52537" w:rsidRDefault="003C23FB" w:rsidP="00D52537">
      <w:pPr>
        <w:pStyle w:val="a4"/>
        <w:widowControl/>
        <w:numPr>
          <w:ilvl w:val="0"/>
          <w:numId w:val="22"/>
        </w:numPr>
        <w:spacing w:before="100" w:beforeAutospacing="1" w:after="100" w:afterAutospacing="1" w:line="400" w:lineRule="exact"/>
        <w:ind w:leftChars="0"/>
        <w:jc w:val="both"/>
        <w:rPr>
          <w:rFonts w:eastAsia="標楷體" w:cs="Calibri"/>
          <w:b/>
          <w:kern w:val="0"/>
          <w:sz w:val="32"/>
          <w:szCs w:val="32"/>
          <w:lang w:val="en-GB"/>
        </w:rPr>
      </w:pPr>
      <w:proofErr w:type="gramStart"/>
      <w:r w:rsidRPr="00D52537">
        <w:rPr>
          <w:rFonts w:eastAsia="標楷體" w:cs="TTB7CF9C5CtCID-WinCharSetFFFF-H" w:hint="eastAsia"/>
          <w:b/>
          <w:color w:val="000000"/>
          <w:kern w:val="0"/>
          <w:sz w:val="32"/>
          <w:szCs w:val="32"/>
        </w:rPr>
        <w:t>釋例</w:t>
      </w:r>
      <w:proofErr w:type="gramEnd"/>
      <w:r w:rsidRPr="00D52537">
        <w:rPr>
          <w:rFonts w:eastAsia="標楷體" w:cs="TTB7CF9C5CtCID-WinCharSetFFFF-H" w:hint="eastAsia"/>
          <w:b/>
          <w:color w:val="000000"/>
          <w:kern w:val="0"/>
          <w:sz w:val="32"/>
          <w:szCs w:val="32"/>
        </w:rPr>
        <w:t>：潛在表決權</w:t>
      </w:r>
    </w:p>
    <w:p w:rsidR="00DB2700" w:rsidRPr="00DB2700" w:rsidRDefault="00DB2700" w:rsidP="00D52537">
      <w:pPr>
        <w:autoSpaceDE w:val="0"/>
        <w:autoSpaceDN w:val="0"/>
        <w:adjustRightInd w:val="0"/>
        <w:spacing w:before="100" w:beforeAutospacing="1" w:after="100" w:afterAutospacing="1"/>
        <w:rPr>
          <w:rFonts w:eastAsia="標楷體" w:cs="TTB7CF9C5CtCID-WinCharSetFFFF-H"/>
          <w:color w:val="000000"/>
          <w:kern w:val="0"/>
          <w:sz w:val="22"/>
        </w:rPr>
      </w:pPr>
      <w:r>
        <w:rPr>
          <w:noProof/>
        </w:rPr>
        <w:drawing>
          <wp:inline distT="0" distB="0" distL="0" distR="0">
            <wp:extent cx="5097780" cy="3413760"/>
            <wp:effectExtent l="19050" t="19050" r="26670" b="1524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97780" cy="3413760"/>
                    </a:xfrm>
                    <a:prstGeom prst="rect">
                      <a:avLst/>
                    </a:prstGeom>
                    <a:ln>
                      <a:solidFill>
                        <a:schemeClr val="accent1"/>
                      </a:solidFill>
                    </a:ln>
                  </pic:spPr>
                </pic:pic>
              </a:graphicData>
            </a:graphic>
          </wp:inline>
        </w:drawing>
      </w:r>
    </w:p>
    <w:p w:rsidR="00AF549A" w:rsidRPr="00D52537" w:rsidRDefault="0066766E" w:rsidP="00D52537">
      <w:pPr>
        <w:pStyle w:val="abgheadb"/>
        <w:spacing w:before="100" w:beforeAutospacing="1" w:after="100" w:afterAutospacing="1" w:line="400" w:lineRule="exact"/>
        <w:jc w:val="both"/>
        <w:rPr>
          <w:rFonts w:ascii="標楷體" w:eastAsia="標楷體" w:hAnsi="標楷體" w:cs="Calibri"/>
          <w:szCs w:val="32"/>
          <w:lang w:eastAsia="zh-TW"/>
        </w:rPr>
      </w:pPr>
      <w:r w:rsidRPr="00D52537">
        <w:rPr>
          <w:rFonts w:ascii="標楷體" w:eastAsia="標楷體" w:hAnsi="標楷體" w:cs="Calibri" w:hint="eastAsia"/>
          <w:szCs w:val="32"/>
          <w:lang w:eastAsia="zh-TW"/>
        </w:rPr>
        <w:t>1.3.1</w:t>
      </w:r>
      <w:r w:rsidR="00AF549A" w:rsidRPr="00D52537">
        <w:rPr>
          <w:rFonts w:ascii="標楷體" w:eastAsia="標楷體" w:hAnsi="標楷體" w:cs="Calibri" w:hint="eastAsia"/>
          <w:szCs w:val="32"/>
          <w:lang w:eastAsia="zh-TW"/>
        </w:rPr>
        <w:t>保障性權利</w:t>
      </w:r>
    </w:p>
    <w:p w:rsidR="00AF549A" w:rsidRPr="00D52537" w:rsidRDefault="00AF549A" w:rsidP="00D52537">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於評估權利是否賦予投資者對被投資者之權力，投資者應評估其權利及由他方持有之權利是否屬保障性權利。</w:t>
      </w:r>
    </w:p>
    <w:p w:rsidR="00AF549A" w:rsidRPr="00D52537" w:rsidRDefault="00AF549A" w:rsidP="00D52537">
      <w:pPr>
        <w:autoSpaceDE w:val="0"/>
        <w:autoSpaceDN w:val="0"/>
        <w:adjustRightInd w:val="0"/>
        <w:spacing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hint="eastAsia"/>
          <w:color w:val="000000"/>
          <w:kern w:val="0"/>
          <w:sz w:val="32"/>
          <w:szCs w:val="32"/>
        </w:rPr>
        <w:t>保障性權利係定義為「權利被設計用以保障持有該等權利者之權益</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而不賦予該持有者有對該等權利所關聯之個體之權力</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w:t>
      </w:r>
      <w:r w:rsidR="00826EB9" w:rsidRPr="00D52537">
        <w:rPr>
          <w:rFonts w:ascii="標楷體" w:eastAsia="標楷體" w:hAnsi="標楷體" w:cs="TTB7CF9C5CtCID-WinCharSetFFFF-H" w:hint="eastAsia"/>
          <w:color w:val="000000"/>
          <w:kern w:val="0"/>
          <w:sz w:val="32"/>
          <w:szCs w:val="32"/>
        </w:rPr>
        <w:t>。</w:t>
      </w:r>
      <w:r w:rsidRPr="00D52537">
        <w:rPr>
          <w:rFonts w:ascii="標楷體" w:eastAsia="標楷體" w:hAnsi="標楷體" w:cs="TTB7CF9C5CtCID-WinCharSetFFFF-H" w:hint="eastAsia"/>
          <w:color w:val="000000"/>
          <w:kern w:val="0"/>
          <w:sz w:val="32"/>
          <w:szCs w:val="32"/>
        </w:rPr>
        <w:t>基於保障性權利之性質，僅持有保障性權利之投資者無法具有對被投資者之權力或無法妨礙另一方具有對被投資者之權力。</w:t>
      </w:r>
    </w:p>
    <w:p w:rsidR="00AF549A" w:rsidRPr="00621356" w:rsidRDefault="00AF549A" w:rsidP="00621356">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D52537">
        <w:rPr>
          <w:rFonts w:ascii="標楷體" w:eastAsia="標楷體" w:hAnsi="標楷體" w:cs="TTB7CF9C5CtCID-WinCharSetFFFF-H"/>
          <w:color w:val="000000"/>
          <w:kern w:val="0"/>
          <w:sz w:val="32"/>
          <w:szCs w:val="32"/>
        </w:rPr>
        <w:t>IFRS 10</w:t>
      </w:r>
      <w:r w:rsidRPr="00D52537">
        <w:rPr>
          <w:rFonts w:ascii="標楷體" w:eastAsia="標楷體" w:hAnsi="標楷體" w:cs="TTB7CF9C5CtCID-WinCharSetFFFF-H" w:hint="eastAsia"/>
          <w:color w:val="000000"/>
          <w:kern w:val="0"/>
          <w:sz w:val="32"/>
          <w:szCs w:val="32"/>
        </w:rPr>
        <w:t>指出，保障性權利與被投資者活動之基本變動有關，或適用於極端情況。</w:t>
      </w:r>
      <w:proofErr w:type="gramStart"/>
      <w:r w:rsidRPr="00D52537">
        <w:rPr>
          <w:rFonts w:ascii="標楷體" w:eastAsia="標楷體" w:hAnsi="標楷體" w:cs="TTB7CF9C5CtCID-WinCharSetFFFF-H" w:hint="eastAsia"/>
          <w:color w:val="000000"/>
          <w:kern w:val="0"/>
          <w:sz w:val="32"/>
          <w:szCs w:val="32"/>
        </w:rPr>
        <w:t>惟</w:t>
      </w:r>
      <w:proofErr w:type="gramEnd"/>
      <w:r w:rsidRPr="00D52537">
        <w:rPr>
          <w:rFonts w:ascii="標楷體" w:eastAsia="標楷體" w:hAnsi="標楷體" w:cs="TTB7CF9C5CtCID-WinCharSetFFFF-H" w:hint="eastAsia"/>
          <w:color w:val="000000"/>
          <w:kern w:val="0"/>
          <w:sz w:val="32"/>
          <w:szCs w:val="32"/>
        </w:rPr>
        <w:t>並非所有適用於極端情況之權</w:t>
      </w:r>
      <w:r w:rsidRPr="00D52537">
        <w:rPr>
          <w:rFonts w:ascii="標楷體" w:eastAsia="標楷體" w:hAnsi="標楷體" w:cs="TTB7CF9C5CtCID-WinCharSetFFFF-H" w:hint="eastAsia"/>
          <w:color w:val="000000"/>
          <w:kern w:val="0"/>
          <w:sz w:val="32"/>
          <w:szCs w:val="32"/>
        </w:rPr>
        <w:lastRenderedPageBreak/>
        <w:t>利或依事項而定之</w:t>
      </w:r>
      <w:proofErr w:type="gramStart"/>
      <w:r w:rsidRPr="00D52537">
        <w:rPr>
          <w:rFonts w:ascii="標楷體" w:eastAsia="標楷體" w:hAnsi="標楷體" w:cs="TTB7CF9C5CtCID-WinCharSetFFFF-H" w:hint="eastAsia"/>
          <w:color w:val="000000"/>
          <w:kern w:val="0"/>
          <w:sz w:val="32"/>
          <w:szCs w:val="32"/>
        </w:rPr>
        <w:t>權利均屬保障</w:t>
      </w:r>
      <w:proofErr w:type="gramEnd"/>
      <w:r w:rsidRPr="00D52537">
        <w:rPr>
          <w:rFonts w:ascii="標楷體" w:eastAsia="標楷體" w:hAnsi="標楷體" w:cs="TTB7CF9C5CtCID-WinCharSetFFFF-H" w:hint="eastAsia"/>
          <w:color w:val="000000"/>
          <w:kern w:val="0"/>
          <w:sz w:val="32"/>
          <w:szCs w:val="32"/>
        </w:rPr>
        <w:t>性。保障性權利之例包括</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但不限於</w:t>
      </w:r>
      <w:r w:rsidRPr="00D52537">
        <w:rPr>
          <w:rFonts w:ascii="標楷體" w:eastAsia="標楷體" w:hAnsi="標楷體" w:cs="TTB7CF9C5CtCID-WinCharSetFFFF-H"/>
          <w:color w:val="000000"/>
          <w:kern w:val="0"/>
          <w:sz w:val="32"/>
          <w:szCs w:val="32"/>
        </w:rPr>
        <w:t>)</w:t>
      </w:r>
      <w:r w:rsidRPr="00D52537">
        <w:rPr>
          <w:rFonts w:ascii="標楷體" w:eastAsia="標楷體" w:hAnsi="標楷體" w:cs="TTB7CF9C5CtCID-WinCharSetFFFF-H" w:hint="eastAsia"/>
          <w:color w:val="000000"/>
          <w:kern w:val="0"/>
          <w:sz w:val="32"/>
          <w:szCs w:val="32"/>
        </w:rPr>
        <w:t>：</w:t>
      </w:r>
    </w:p>
    <w:p w:rsidR="00AF549A" w:rsidRPr="00621356" w:rsidRDefault="00AF549A" w:rsidP="00621356">
      <w:pPr>
        <w:pStyle w:val="a4"/>
        <w:numPr>
          <w:ilvl w:val="0"/>
          <w:numId w:val="10"/>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債權人限制債務人進行可能重大改變債務人信用風險並對債權人有所損害之活動之權利；</w:t>
      </w:r>
    </w:p>
    <w:p w:rsidR="00AF549A" w:rsidRPr="00621356" w:rsidRDefault="00AF549A" w:rsidP="00621356">
      <w:pPr>
        <w:pStyle w:val="a4"/>
        <w:numPr>
          <w:ilvl w:val="0"/>
          <w:numId w:val="10"/>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持有被投資者非控制權益之一方，核准資本支出大於正常營業過程所必要者之權利，或核准發行權益或債務工具之權利；及</w:t>
      </w:r>
    </w:p>
    <w:p w:rsidR="00AF549A" w:rsidRPr="00621356" w:rsidRDefault="00AF549A" w:rsidP="00621356">
      <w:pPr>
        <w:pStyle w:val="a4"/>
        <w:numPr>
          <w:ilvl w:val="0"/>
          <w:numId w:val="10"/>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若債務人未符合明定之借款償還條件，債權人扣留債務人資產之權利。</w:t>
      </w:r>
    </w:p>
    <w:p w:rsidR="00AF549A" w:rsidRPr="00621356" w:rsidRDefault="0066766E" w:rsidP="00621356">
      <w:pPr>
        <w:pStyle w:val="112"/>
        <w:spacing w:line="400" w:lineRule="exact"/>
        <w:rPr>
          <w:rFonts w:ascii="標楷體" w:hAnsi="標楷體"/>
          <w:sz w:val="32"/>
          <w:szCs w:val="32"/>
        </w:rPr>
      </w:pPr>
      <w:r w:rsidRPr="00621356">
        <w:rPr>
          <w:rFonts w:ascii="標楷體" w:hAnsi="標楷體" w:hint="eastAsia"/>
          <w:sz w:val="32"/>
          <w:szCs w:val="32"/>
        </w:rPr>
        <w:t>1.3.1.1</w:t>
      </w:r>
      <w:r w:rsidR="00AF549A" w:rsidRPr="00621356">
        <w:rPr>
          <w:rFonts w:ascii="標楷體" w:hAnsi="標楷體"/>
          <w:sz w:val="32"/>
          <w:szCs w:val="32"/>
        </w:rPr>
        <w:t xml:space="preserve"> </w:t>
      </w:r>
      <w:r w:rsidR="00AF549A" w:rsidRPr="00621356">
        <w:rPr>
          <w:rFonts w:ascii="標楷體" w:hAnsi="標楷體" w:hint="eastAsia"/>
          <w:sz w:val="32"/>
          <w:szCs w:val="32"/>
        </w:rPr>
        <w:t>特許權</w:t>
      </w:r>
    </w:p>
    <w:p w:rsidR="00AF549A" w:rsidRPr="00621356" w:rsidRDefault="00AF549A"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對於保障性權利，</w:t>
      </w:r>
      <w:r w:rsidRPr="00621356">
        <w:rPr>
          <w:rFonts w:ascii="標楷體" w:eastAsia="標楷體" w:hAnsi="標楷體" w:cs="TTB7CF9C5CtCID-WinCharSetFFFF-H"/>
          <w:color w:val="000000"/>
          <w:kern w:val="0"/>
          <w:sz w:val="32"/>
          <w:szCs w:val="32"/>
        </w:rPr>
        <w:t>IFRS 10</w:t>
      </w:r>
      <w:r w:rsidRPr="00621356">
        <w:rPr>
          <w:rFonts w:ascii="標楷體" w:eastAsia="標楷體" w:hAnsi="標楷體" w:cs="TTB7CF9C5CtCID-WinCharSetFFFF-H" w:hint="eastAsia"/>
          <w:color w:val="000000"/>
          <w:kern w:val="0"/>
          <w:sz w:val="32"/>
          <w:szCs w:val="32"/>
        </w:rPr>
        <w:t>考量了特許權協議</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被投資者係特許權被授權人</w:t>
      </w:r>
      <w:r w:rsidRPr="00621356">
        <w:rPr>
          <w:rFonts w:ascii="標楷體" w:eastAsia="標楷體" w:hAnsi="標楷體" w:cs="TTB7CF9C5CtCID-WinCharSetFFFF-H"/>
          <w:color w:val="000000"/>
          <w:kern w:val="0"/>
          <w:sz w:val="32"/>
          <w:szCs w:val="32"/>
        </w:rPr>
        <w:t>(franchisee))</w:t>
      </w:r>
      <w:r w:rsidRPr="00621356">
        <w:rPr>
          <w:rFonts w:ascii="標楷體" w:eastAsia="標楷體" w:hAnsi="標楷體" w:cs="TTB7CF9C5CtCID-WinCharSetFFFF-H" w:hint="eastAsia"/>
          <w:color w:val="000000"/>
          <w:kern w:val="0"/>
          <w:sz w:val="32"/>
          <w:szCs w:val="32"/>
        </w:rPr>
        <w:t>下之特殊情況。特許權協議經常賦予特許權授權人</w:t>
      </w:r>
      <w:r w:rsidRPr="00621356">
        <w:rPr>
          <w:rFonts w:ascii="標楷體" w:eastAsia="標楷體" w:hAnsi="標楷體" w:cs="TTB7CF9C5CtCID-WinCharSetFFFF-H"/>
          <w:color w:val="000000"/>
          <w:kern w:val="0"/>
          <w:sz w:val="32"/>
          <w:szCs w:val="32"/>
        </w:rPr>
        <w:t>(franchisor)</w:t>
      </w:r>
      <w:r w:rsidRPr="00621356">
        <w:rPr>
          <w:rFonts w:ascii="標楷體" w:eastAsia="標楷體" w:hAnsi="標楷體" w:cs="TTB7CF9C5CtCID-WinCharSetFFFF-H" w:hint="eastAsia"/>
          <w:color w:val="000000"/>
          <w:kern w:val="0"/>
          <w:sz w:val="32"/>
          <w:szCs w:val="32"/>
        </w:rPr>
        <w:t>權利，該權利係被設計用以保護特許權品牌。特許權協議通常賦予特許權授權人與特許權被授權人營運有關之某些決策權。以下考量係屬</w:t>
      </w:r>
      <w:proofErr w:type="gramStart"/>
      <w:r w:rsidRPr="00621356">
        <w:rPr>
          <w:rFonts w:ascii="標楷體" w:eastAsia="標楷體" w:hAnsi="標楷體" w:cs="TTB7CF9C5CtCID-WinCharSetFFFF-H" w:hint="eastAsia"/>
          <w:color w:val="000000"/>
          <w:kern w:val="0"/>
          <w:sz w:val="32"/>
          <w:szCs w:val="32"/>
        </w:rPr>
        <w:t>攸</w:t>
      </w:r>
      <w:proofErr w:type="gramEnd"/>
      <w:r w:rsidRPr="00621356">
        <w:rPr>
          <w:rFonts w:ascii="標楷體" w:eastAsia="標楷體" w:hAnsi="標楷體" w:cs="TTB7CF9C5CtCID-WinCharSetFFFF-H" w:hint="eastAsia"/>
          <w:color w:val="000000"/>
          <w:kern w:val="0"/>
          <w:sz w:val="32"/>
          <w:szCs w:val="32"/>
        </w:rPr>
        <w:t>關：</w:t>
      </w:r>
    </w:p>
    <w:p w:rsidR="00AF549A" w:rsidRPr="00621356" w:rsidRDefault="00AF549A" w:rsidP="00621356">
      <w:pPr>
        <w:pStyle w:val="a4"/>
        <w:numPr>
          <w:ilvl w:val="0"/>
          <w:numId w:val="11"/>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一般而言，特許權授權人之權利不限制特許權授權人以外之他方制定對特許權被授權人之報酬具有重大影響之決策之能力；</w:t>
      </w:r>
    </w:p>
    <w:p w:rsidR="00AF549A" w:rsidRPr="00621356" w:rsidRDefault="00AF549A" w:rsidP="00621356">
      <w:pPr>
        <w:pStyle w:val="a4"/>
        <w:numPr>
          <w:ilvl w:val="0"/>
          <w:numId w:val="11"/>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特許權授權人於特許權協議之權利亦</w:t>
      </w:r>
      <w:proofErr w:type="gramStart"/>
      <w:r w:rsidRPr="00621356">
        <w:rPr>
          <w:rFonts w:ascii="標楷體" w:eastAsia="標楷體" w:hAnsi="標楷體" w:cs="TTB7CF9C5CtCID-WinCharSetFFFF-H" w:hint="eastAsia"/>
          <w:color w:val="000000"/>
          <w:kern w:val="0"/>
          <w:sz w:val="32"/>
          <w:szCs w:val="32"/>
        </w:rPr>
        <w:t>不</w:t>
      </w:r>
      <w:proofErr w:type="gramEnd"/>
      <w:r w:rsidRPr="00621356">
        <w:rPr>
          <w:rFonts w:ascii="標楷體" w:eastAsia="標楷體" w:hAnsi="標楷體" w:cs="TTB7CF9C5CtCID-WinCharSetFFFF-H" w:hint="eastAsia"/>
          <w:color w:val="000000"/>
          <w:kern w:val="0"/>
          <w:sz w:val="32"/>
          <w:szCs w:val="32"/>
        </w:rPr>
        <w:t>必然賦予其現時能力，以主導重大影響特許權被授權人報酬之活動；</w:t>
      </w:r>
    </w:p>
    <w:p w:rsidR="00AF549A" w:rsidRPr="00621356" w:rsidRDefault="00AF549A" w:rsidP="00621356">
      <w:pPr>
        <w:pStyle w:val="a4"/>
        <w:numPr>
          <w:ilvl w:val="0"/>
          <w:numId w:val="11"/>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具有現時能力以制定重大影響特許權被授權人報酬之決策，與具有能力以制定保護特許權品牌之決策，必須予以區分。若他方具有賦予其現時能力以主導特許權被授權人</w:t>
      </w:r>
      <w:proofErr w:type="gramStart"/>
      <w:r w:rsidRPr="00621356">
        <w:rPr>
          <w:rFonts w:ascii="標楷體" w:eastAsia="標楷體" w:hAnsi="標楷體" w:cs="TTB7CF9C5CtCID-WinCharSetFFFF-H" w:hint="eastAsia"/>
          <w:color w:val="000000"/>
          <w:kern w:val="0"/>
          <w:sz w:val="32"/>
          <w:szCs w:val="32"/>
        </w:rPr>
        <w:t>攸</w:t>
      </w:r>
      <w:proofErr w:type="gramEnd"/>
      <w:r w:rsidRPr="00621356">
        <w:rPr>
          <w:rFonts w:ascii="標楷體" w:eastAsia="標楷體" w:hAnsi="標楷體" w:cs="TTB7CF9C5CtCID-WinCharSetFFFF-H" w:hint="eastAsia"/>
          <w:color w:val="000000"/>
          <w:kern w:val="0"/>
          <w:sz w:val="32"/>
          <w:szCs w:val="32"/>
        </w:rPr>
        <w:t>關活動之既存權利時，特許權授權人不具有對特許權被授權人之權力；</w:t>
      </w:r>
    </w:p>
    <w:p w:rsidR="00AF549A" w:rsidRPr="00621356" w:rsidRDefault="00AF549A" w:rsidP="00621356">
      <w:pPr>
        <w:pStyle w:val="a4"/>
        <w:numPr>
          <w:ilvl w:val="0"/>
          <w:numId w:val="11"/>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藉由簽訂特許權協議，特許權被授權人已片面作成決策，依特許權協議之條款營運其業務，但係為其本身利益；及</w:t>
      </w:r>
    </w:p>
    <w:p w:rsidR="00AF549A" w:rsidRPr="00621356" w:rsidRDefault="00AF549A" w:rsidP="00621356">
      <w:pPr>
        <w:pStyle w:val="a4"/>
        <w:numPr>
          <w:ilvl w:val="0"/>
          <w:numId w:val="11"/>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對諸如特許權被授權人之法律形式</w:t>
      </w:r>
      <w:proofErr w:type="gramStart"/>
      <w:r w:rsidRPr="00621356">
        <w:rPr>
          <w:rFonts w:ascii="標楷體" w:eastAsia="標楷體" w:hAnsi="標楷體" w:cs="TTB7CF9C5CtCID-WinCharSetFFFF-H" w:hint="eastAsia"/>
          <w:color w:val="000000"/>
          <w:kern w:val="0"/>
          <w:sz w:val="32"/>
          <w:szCs w:val="32"/>
        </w:rPr>
        <w:t>或其注資</w:t>
      </w:r>
      <w:proofErr w:type="gramEnd"/>
      <w:r w:rsidRPr="00621356">
        <w:rPr>
          <w:rFonts w:ascii="標楷體" w:eastAsia="標楷體" w:hAnsi="標楷體" w:cs="TTB7CF9C5CtCID-WinCharSetFFFF-H" w:hint="eastAsia"/>
          <w:color w:val="000000"/>
          <w:kern w:val="0"/>
          <w:sz w:val="32"/>
          <w:szCs w:val="32"/>
        </w:rPr>
        <w:t>結構等基本決策之控制，可能由特許權授權人以外之他方決定，且</w:t>
      </w:r>
      <w:r w:rsidRPr="00621356">
        <w:rPr>
          <w:rFonts w:ascii="標楷體" w:eastAsia="標楷體" w:hAnsi="標楷體" w:cs="TTB7CF9C5CtCID-WinCharSetFFFF-H" w:hint="eastAsia"/>
          <w:color w:val="000000"/>
          <w:kern w:val="0"/>
          <w:sz w:val="32"/>
          <w:szCs w:val="32"/>
        </w:rPr>
        <w:lastRenderedPageBreak/>
        <w:t>可能重大影響特許權被授權人之報酬。特許權授權人提供之財務支援程度愈低，且特許權授權人對特許權被授權人報酬變異性之</w:t>
      </w:r>
      <w:proofErr w:type="gramStart"/>
      <w:r w:rsidRPr="00621356">
        <w:rPr>
          <w:rFonts w:ascii="標楷體" w:eastAsia="標楷體" w:hAnsi="標楷體" w:cs="TTB7CF9C5CtCID-WinCharSetFFFF-H" w:hint="eastAsia"/>
          <w:color w:val="000000"/>
          <w:kern w:val="0"/>
          <w:sz w:val="32"/>
          <w:szCs w:val="32"/>
        </w:rPr>
        <w:t>暴險愈</w:t>
      </w:r>
      <w:proofErr w:type="gramEnd"/>
      <w:r w:rsidRPr="00621356">
        <w:rPr>
          <w:rFonts w:ascii="標楷體" w:eastAsia="標楷體" w:hAnsi="標楷體" w:cs="TTB7CF9C5CtCID-WinCharSetFFFF-H" w:hint="eastAsia"/>
          <w:color w:val="000000"/>
          <w:kern w:val="0"/>
          <w:sz w:val="32"/>
          <w:szCs w:val="32"/>
        </w:rPr>
        <w:t>低時，特許權授權人愈可能僅具有保障性權利。</w:t>
      </w:r>
    </w:p>
    <w:p w:rsidR="006B0B76" w:rsidRPr="00621356" w:rsidRDefault="00AF549A" w:rsidP="00621356">
      <w:pPr>
        <w:pStyle w:val="abgheada"/>
        <w:spacing w:before="100" w:beforeAutospacing="1" w:after="100" w:afterAutospacing="1" w:line="400" w:lineRule="exact"/>
        <w:rPr>
          <w:rFonts w:ascii="標楷體" w:eastAsia="標楷體" w:hAnsi="標楷體" w:cs="Calibri"/>
          <w:sz w:val="32"/>
          <w:szCs w:val="32"/>
          <w:lang w:eastAsia="zh-TW"/>
        </w:rPr>
      </w:pPr>
      <w:r w:rsidRPr="00621356">
        <w:rPr>
          <w:rFonts w:ascii="標楷體" w:eastAsia="標楷體" w:hAnsi="標楷體" w:cs="Calibri" w:hint="eastAsia"/>
          <w:sz w:val="32"/>
          <w:szCs w:val="32"/>
          <w:lang w:eastAsia="zh-TW"/>
        </w:rPr>
        <w:t>2</w:t>
      </w:r>
      <w:r w:rsidR="00C768E8">
        <w:rPr>
          <w:rFonts w:ascii="標楷體" w:eastAsia="標楷體" w:hAnsi="標楷體" w:cs="Calibri" w:hint="eastAsia"/>
          <w:sz w:val="32"/>
          <w:szCs w:val="32"/>
          <w:lang w:eastAsia="zh-TW"/>
        </w:rPr>
        <w:t>.</w:t>
      </w:r>
      <w:r w:rsidR="00AA3CAA" w:rsidRPr="00621356">
        <w:rPr>
          <w:rFonts w:ascii="標楷體" w:eastAsia="標楷體" w:hAnsi="標楷體" w:cs="Calibri" w:hint="eastAsia"/>
          <w:sz w:val="32"/>
          <w:szCs w:val="32"/>
          <w:lang w:eastAsia="zh-TW"/>
        </w:rPr>
        <w:t>第二項要素</w:t>
      </w:r>
      <w:r w:rsidR="00AA3CAA" w:rsidRPr="00621356">
        <w:rPr>
          <w:rFonts w:ascii="標楷體" w:eastAsia="標楷體" w:hAnsi="標楷體" w:cs="Calibri"/>
          <w:sz w:val="32"/>
          <w:szCs w:val="32"/>
          <w:lang w:eastAsia="zh-TW"/>
        </w:rPr>
        <w:t>—</w:t>
      </w:r>
      <w:r w:rsidR="006B0B76" w:rsidRPr="00621356">
        <w:rPr>
          <w:rFonts w:ascii="標楷體" w:eastAsia="標楷體" w:hAnsi="標楷體" w:cs="Calibri" w:hint="eastAsia"/>
          <w:sz w:val="32"/>
          <w:szCs w:val="32"/>
          <w:lang w:eastAsia="zh-TW"/>
        </w:rPr>
        <w:t>對來自被投資者之變動報酬之暴險或權利</w:t>
      </w:r>
    </w:p>
    <w:p w:rsidR="006B0B76" w:rsidRPr="00621356" w:rsidRDefault="006B0B76"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lang w:val="en-GB"/>
        </w:rPr>
        <w:t>控制之第二項要素為，投資者有</w:t>
      </w:r>
      <w:r w:rsidRPr="00621356">
        <w:rPr>
          <w:rFonts w:ascii="標楷體" w:eastAsia="標楷體" w:hAnsi="標楷體" w:cs="TTB7CF9C5CtCID-WinCharSetFFFF-H" w:hint="eastAsia"/>
          <w:color w:val="000000"/>
          <w:kern w:val="0"/>
          <w:sz w:val="32"/>
          <w:szCs w:val="32"/>
        </w:rPr>
        <w:t>來自對被投資者之參與之報酬</w:t>
      </w:r>
      <w:proofErr w:type="gramStart"/>
      <w:r w:rsidRPr="00621356">
        <w:rPr>
          <w:rFonts w:ascii="標楷體" w:eastAsia="標楷體" w:hAnsi="標楷體" w:cs="TTB7CF9C5CtCID-WinCharSetFFFF-H" w:hint="eastAsia"/>
          <w:color w:val="000000"/>
          <w:kern w:val="0"/>
          <w:sz w:val="32"/>
          <w:szCs w:val="32"/>
        </w:rPr>
        <w:t>之暴險或</w:t>
      </w:r>
      <w:proofErr w:type="gramEnd"/>
      <w:r w:rsidRPr="00621356">
        <w:rPr>
          <w:rFonts w:ascii="標楷體" w:eastAsia="標楷體" w:hAnsi="標楷體" w:cs="TTB7CF9C5CtCID-WinCharSetFFFF-H" w:hint="eastAsia"/>
          <w:color w:val="000000"/>
          <w:kern w:val="0"/>
          <w:sz w:val="32"/>
          <w:szCs w:val="32"/>
        </w:rPr>
        <w:t>權利。當投資者有來自對被投資者之參與之報酬有可能因被投資者之績效而變動時，則屬此種情形。投資者之報酬可能僅為正值、僅為負值或正負兼具。</w:t>
      </w:r>
    </w:p>
    <w:tbl>
      <w:tblPr>
        <w:tblStyle w:val="a3"/>
        <w:tblW w:w="0" w:type="auto"/>
        <w:tblLook w:val="04A0"/>
      </w:tblPr>
      <w:tblGrid>
        <w:gridCol w:w="8362"/>
      </w:tblGrid>
      <w:tr w:rsidR="006B0B76" w:rsidRPr="00621356" w:rsidTr="006B0B76">
        <w:tc>
          <w:tcPr>
            <w:tcW w:w="8362" w:type="dxa"/>
            <w:tcBorders>
              <w:top w:val="nil"/>
              <w:left w:val="nil"/>
              <w:bottom w:val="nil"/>
              <w:right w:val="nil"/>
            </w:tcBorders>
            <w:shd w:val="clear" w:color="auto" w:fill="D9D9D9" w:themeFill="background1" w:themeFillShade="D9"/>
            <w:hideMark/>
          </w:tcPr>
          <w:p w:rsidR="006B0B76" w:rsidRPr="00621356" w:rsidRDefault="006B0B76" w:rsidP="00621356">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32"/>
                <w:szCs w:val="32"/>
              </w:rPr>
            </w:pPr>
          </w:p>
        </w:tc>
      </w:tr>
    </w:tbl>
    <w:p w:rsidR="006B0B76" w:rsidRPr="00621356" w:rsidRDefault="006B0B76" w:rsidP="0055564D">
      <w:pPr>
        <w:autoSpaceDE w:val="0"/>
        <w:autoSpaceDN w:val="0"/>
        <w:adjustRightInd w:val="0"/>
        <w:spacing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雖然僅有一個投資者可控制被投資者，但超過一方可分享被投資者之報酬。例如，非控制權益之持有人亦可分享被投資者之利潤或分配。</w:t>
      </w:r>
    </w:p>
    <w:p w:rsidR="006B0B76" w:rsidRPr="00621356" w:rsidRDefault="006B0B76" w:rsidP="0055564D">
      <w:pPr>
        <w:autoSpaceDE w:val="0"/>
        <w:autoSpaceDN w:val="0"/>
        <w:adjustRightInd w:val="0"/>
        <w:spacing w:before="100" w:beforeAutospacing="1" w:after="100" w:afterAutospacing="1" w:line="400" w:lineRule="exact"/>
        <w:ind w:firstLineChars="150" w:firstLine="48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報酬</w:t>
      </w:r>
      <w:proofErr w:type="gramStart"/>
      <w:r w:rsidRPr="00621356">
        <w:rPr>
          <w:rFonts w:ascii="標楷體" w:eastAsia="標楷體" w:hAnsi="標楷體" w:cs="TTB7CF9C5CtCID-WinCharSetFFFF-H" w:hint="eastAsia"/>
          <w:color w:val="000000"/>
          <w:kern w:val="0"/>
          <w:sz w:val="32"/>
          <w:szCs w:val="32"/>
        </w:rPr>
        <w:t>之釋例包括</w:t>
      </w:r>
      <w:proofErr w:type="gramEnd"/>
      <w:r w:rsidRPr="00621356">
        <w:rPr>
          <w:rFonts w:ascii="標楷體" w:eastAsia="標楷體" w:hAnsi="標楷體" w:cs="TTB7CF9C5CtCID-WinCharSetFFFF-H" w:hint="eastAsia"/>
          <w:color w:val="000000"/>
          <w:kern w:val="0"/>
          <w:sz w:val="32"/>
          <w:szCs w:val="32"/>
        </w:rPr>
        <w:t>：</w:t>
      </w:r>
    </w:p>
    <w:p w:rsidR="006B0B76" w:rsidRPr="00621356" w:rsidRDefault="006B0B76" w:rsidP="00621356">
      <w:pPr>
        <w:pStyle w:val="a4"/>
        <w:numPr>
          <w:ilvl w:val="0"/>
          <w:numId w:val="14"/>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股利、來自被投資者經濟利益之其他分配</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例如來自被投資者發行之債務證券之利息</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及投資者對該被投資者之投資價值變動；</w:t>
      </w:r>
    </w:p>
    <w:p w:rsidR="006B0B76" w:rsidRPr="00621356" w:rsidRDefault="006B0B76" w:rsidP="00621356">
      <w:pPr>
        <w:pStyle w:val="a4"/>
        <w:numPr>
          <w:ilvl w:val="0"/>
          <w:numId w:val="14"/>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服務被投資者資產或負債之酬勞、來自提供信用或流動性支持之收費及提供該等支持所產生損失</w:t>
      </w:r>
      <w:proofErr w:type="gramStart"/>
      <w:r w:rsidRPr="00621356">
        <w:rPr>
          <w:rFonts w:ascii="標楷體" w:eastAsia="標楷體" w:hAnsi="標楷體" w:cs="TTB7CF9C5CtCID-WinCharSetFFFF-H" w:hint="eastAsia"/>
          <w:color w:val="000000"/>
          <w:kern w:val="0"/>
          <w:sz w:val="32"/>
          <w:szCs w:val="32"/>
        </w:rPr>
        <w:t>之暴險</w:t>
      </w:r>
      <w:proofErr w:type="gramEnd"/>
      <w:r w:rsidRPr="00621356">
        <w:rPr>
          <w:rFonts w:ascii="標楷體" w:eastAsia="標楷體" w:hAnsi="標楷體" w:cs="TTB7CF9C5CtCID-WinCharSetFFFF-H" w:hint="eastAsia"/>
          <w:color w:val="000000"/>
          <w:kern w:val="0"/>
          <w:sz w:val="32"/>
          <w:szCs w:val="32"/>
        </w:rPr>
        <w:t>、於被投資者清算時對被投資者資產及負債之剩餘權益、所得稅利益及取得來自投資者對被投資者之參與所產生之未來流動性；及</w:t>
      </w:r>
    </w:p>
    <w:p w:rsidR="006B0B76" w:rsidRPr="00621356" w:rsidRDefault="006B0B76" w:rsidP="00621356">
      <w:pPr>
        <w:pStyle w:val="a4"/>
        <w:numPr>
          <w:ilvl w:val="0"/>
          <w:numId w:val="14"/>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其他權益持有人無法取得之報酬。例如，投資者可能將其資產與被投資者之資產相互結合使用</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諸如合併營運功能以達到規模經濟、成本節省、取得稀有產品、獲得專有知識或限制某些營運或資產</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，以提升投資者其他資產之價值。</w:t>
      </w:r>
    </w:p>
    <w:p w:rsidR="006B0B76" w:rsidRPr="00621356" w:rsidRDefault="006B0B76"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變動報酬係非固定且有可能因被投資者之績效而變動之報酬。於評估來自被投資者之報酬是否屬變動，及該等報酬變動之程度為何時，</w:t>
      </w:r>
      <w:r w:rsidRPr="00621356">
        <w:rPr>
          <w:rFonts w:ascii="標楷體" w:eastAsia="標楷體" w:hAnsi="標楷體" w:cs="TTB7CF9C5CtCID-WinCharSetFFFF-H"/>
          <w:color w:val="000000"/>
          <w:kern w:val="0"/>
          <w:sz w:val="32"/>
          <w:szCs w:val="32"/>
        </w:rPr>
        <w:t>IFRS 10</w:t>
      </w:r>
      <w:r w:rsidRPr="00621356">
        <w:rPr>
          <w:rFonts w:ascii="標楷體" w:eastAsia="標楷體" w:hAnsi="標楷體" w:cs="TTB7CF9C5CtCID-WinCharSetFFFF-H" w:hint="eastAsia"/>
          <w:color w:val="000000"/>
          <w:kern w:val="0"/>
          <w:sz w:val="32"/>
          <w:szCs w:val="32"/>
        </w:rPr>
        <w:t>規定，投資者應考量協議之實質</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無論報酬之法律形式為何</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w:t>
      </w:r>
    </w:p>
    <w:p w:rsidR="006B0B76" w:rsidRPr="00621356" w:rsidRDefault="006B0B76" w:rsidP="0055564D">
      <w:pPr>
        <w:autoSpaceDE w:val="0"/>
        <w:autoSpaceDN w:val="0"/>
        <w:adjustRightInd w:val="0"/>
        <w:spacing w:before="100" w:beforeAutospacing="1" w:after="100" w:afterAutospacing="1" w:line="400" w:lineRule="exact"/>
        <w:ind w:firstLineChars="150" w:firstLine="48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lastRenderedPageBreak/>
        <w:t>IFRS 10</w:t>
      </w:r>
      <w:r w:rsidRPr="00621356">
        <w:rPr>
          <w:rFonts w:ascii="標楷體" w:eastAsia="標楷體" w:hAnsi="標楷體" w:cs="TTB7CF9C5CtCID-WinCharSetFFFF-H" w:hint="eastAsia"/>
          <w:color w:val="000000"/>
          <w:kern w:val="0"/>
          <w:sz w:val="32"/>
          <w:szCs w:val="32"/>
        </w:rPr>
        <w:t>提供下列變動報酬</w:t>
      </w:r>
      <w:proofErr w:type="gramStart"/>
      <w:r w:rsidRPr="00621356">
        <w:rPr>
          <w:rFonts w:ascii="標楷體" w:eastAsia="標楷體" w:hAnsi="標楷體" w:cs="TTB7CF9C5CtCID-WinCharSetFFFF-H" w:hint="eastAsia"/>
          <w:color w:val="000000"/>
          <w:kern w:val="0"/>
          <w:sz w:val="32"/>
          <w:szCs w:val="32"/>
        </w:rPr>
        <w:t>之釋例</w:t>
      </w:r>
      <w:proofErr w:type="gramEnd"/>
      <w:r w:rsidRPr="00621356">
        <w:rPr>
          <w:rFonts w:ascii="標楷體" w:eastAsia="標楷體" w:hAnsi="標楷體" w:cs="TTB7CF9C5CtCID-WinCharSetFFFF-H" w:hint="eastAsia"/>
          <w:color w:val="000000"/>
          <w:kern w:val="0"/>
          <w:sz w:val="32"/>
          <w:szCs w:val="32"/>
        </w:rPr>
        <w:t>：</w:t>
      </w:r>
    </w:p>
    <w:p w:rsidR="006B0B76" w:rsidRPr="00621356" w:rsidRDefault="006B0B76" w:rsidP="00621356">
      <w:pPr>
        <w:pStyle w:val="a4"/>
        <w:numPr>
          <w:ilvl w:val="0"/>
          <w:numId w:val="15"/>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投資者持有支付固定利息之債券。就</w:t>
      </w:r>
      <w:r w:rsidRPr="00621356">
        <w:rPr>
          <w:rFonts w:ascii="標楷體" w:eastAsia="標楷體" w:hAnsi="標楷體" w:cs="TTB7CF9C5CtCID-WinCharSetFFFF-H"/>
          <w:color w:val="000000"/>
          <w:kern w:val="0"/>
          <w:sz w:val="32"/>
          <w:szCs w:val="32"/>
        </w:rPr>
        <w:t>IFRS 10</w:t>
      </w:r>
      <w:r w:rsidRPr="00621356">
        <w:rPr>
          <w:rFonts w:ascii="標楷體" w:eastAsia="標楷體" w:hAnsi="標楷體" w:cs="TTB7CF9C5CtCID-WinCharSetFFFF-H" w:hint="eastAsia"/>
          <w:color w:val="000000"/>
          <w:kern w:val="0"/>
          <w:sz w:val="32"/>
          <w:szCs w:val="32"/>
        </w:rPr>
        <w:t>之目的而言，固定利息支付屬變動報酬，因其受違約風險之影響並使投資者暴露於債券發行人之信用風險。變異性之金額</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即該等報酬變動之程度為何</w:t>
      </w:r>
      <w:r w:rsidRPr="00621356">
        <w:rPr>
          <w:rFonts w:ascii="標楷體" w:eastAsia="標楷體" w:hAnsi="標楷體" w:cs="TTB7CF9C5CtCID-WinCharSetFFFF-H"/>
          <w:color w:val="000000"/>
          <w:kern w:val="0"/>
          <w:sz w:val="32"/>
          <w:szCs w:val="32"/>
        </w:rPr>
        <w:t>)</w:t>
      </w:r>
      <w:r w:rsidRPr="00621356">
        <w:rPr>
          <w:rFonts w:ascii="標楷體" w:eastAsia="標楷體" w:hAnsi="標楷體" w:cs="TTB7CF9C5CtCID-WinCharSetFFFF-H" w:hint="eastAsia"/>
          <w:color w:val="000000"/>
          <w:kern w:val="0"/>
          <w:sz w:val="32"/>
          <w:szCs w:val="32"/>
        </w:rPr>
        <w:t>取決於該債券之信用風險。</w:t>
      </w:r>
    </w:p>
    <w:p w:rsidR="0066766E" w:rsidRPr="00621356" w:rsidRDefault="006B0B76" w:rsidP="00621356">
      <w:pPr>
        <w:pStyle w:val="a4"/>
        <w:numPr>
          <w:ilvl w:val="0"/>
          <w:numId w:val="15"/>
        </w:numPr>
        <w:autoSpaceDE w:val="0"/>
        <w:autoSpaceDN w:val="0"/>
        <w:adjustRightInd w:val="0"/>
        <w:spacing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投資者管理被投資者資產並收取固定績效費。該固定績效收費屬變動報酬，</w:t>
      </w:r>
      <w:proofErr w:type="gramStart"/>
      <w:r w:rsidRPr="00621356">
        <w:rPr>
          <w:rFonts w:ascii="標楷體" w:eastAsia="標楷體" w:hAnsi="標楷體" w:cs="TTB7CF9C5CtCID-WinCharSetFFFF-H" w:hint="eastAsia"/>
          <w:color w:val="000000"/>
          <w:kern w:val="0"/>
          <w:sz w:val="32"/>
          <w:szCs w:val="32"/>
        </w:rPr>
        <w:t>因其使投資者</w:t>
      </w:r>
      <w:proofErr w:type="gramEnd"/>
      <w:r w:rsidRPr="00621356">
        <w:rPr>
          <w:rFonts w:ascii="標楷體" w:eastAsia="標楷體" w:hAnsi="標楷體" w:cs="TTB7CF9C5CtCID-WinCharSetFFFF-H" w:hint="eastAsia"/>
          <w:color w:val="000000"/>
          <w:kern w:val="0"/>
          <w:sz w:val="32"/>
          <w:szCs w:val="32"/>
        </w:rPr>
        <w:t>暴露於被投資者之績效風險。變異性之金額取決於被投資者產生足夠收益以支付該收費之能力。</w:t>
      </w:r>
    </w:p>
    <w:p w:rsidR="006B0B76" w:rsidRPr="00621356" w:rsidRDefault="00AF549A" w:rsidP="00621356">
      <w:pPr>
        <w:pStyle w:val="abgheada"/>
        <w:spacing w:before="100" w:beforeAutospacing="1" w:after="100" w:afterAutospacing="1" w:line="400" w:lineRule="exact"/>
        <w:rPr>
          <w:rFonts w:ascii="標楷體" w:eastAsia="標楷體" w:hAnsi="標楷體" w:cs="Calibri"/>
          <w:sz w:val="32"/>
          <w:szCs w:val="32"/>
          <w:lang w:eastAsia="zh-TW"/>
        </w:rPr>
      </w:pPr>
      <w:r w:rsidRPr="00621356">
        <w:rPr>
          <w:rFonts w:ascii="標楷體" w:eastAsia="標楷體" w:hAnsi="標楷體" w:cs="Calibri" w:hint="eastAsia"/>
          <w:sz w:val="32"/>
          <w:szCs w:val="32"/>
          <w:lang w:eastAsia="zh-TW"/>
        </w:rPr>
        <w:t>3</w:t>
      </w:r>
      <w:r w:rsidR="00C768E8">
        <w:rPr>
          <w:rFonts w:ascii="標楷體" w:eastAsia="標楷體" w:hAnsi="標楷體" w:cs="Calibri" w:hint="eastAsia"/>
          <w:sz w:val="32"/>
          <w:szCs w:val="32"/>
          <w:lang w:eastAsia="zh-TW"/>
        </w:rPr>
        <w:t>.</w:t>
      </w:r>
      <w:r w:rsidR="00AA3CAA" w:rsidRPr="00621356">
        <w:rPr>
          <w:rFonts w:ascii="標楷體" w:eastAsia="標楷體" w:hAnsi="標楷體" w:cs="Calibri" w:hint="eastAsia"/>
          <w:sz w:val="32"/>
          <w:szCs w:val="32"/>
          <w:lang w:eastAsia="zh-TW"/>
        </w:rPr>
        <w:t>第三項要素</w:t>
      </w:r>
      <w:proofErr w:type="gramStart"/>
      <w:r w:rsidR="00AA3CAA" w:rsidRPr="00621356">
        <w:rPr>
          <w:rFonts w:ascii="標楷體" w:eastAsia="標楷體" w:hAnsi="標楷體" w:cs="Calibri"/>
          <w:sz w:val="32"/>
          <w:szCs w:val="32"/>
          <w:lang w:eastAsia="zh-TW"/>
        </w:rPr>
        <w:t>—</w:t>
      </w:r>
      <w:proofErr w:type="gramEnd"/>
      <w:r w:rsidR="006B0B76" w:rsidRPr="00621356">
        <w:rPr>
          <w:rFonts w:ascii="標楷體" w:eastAsia="標楷體" w:hAnsi="標楷體" w:cs="Calibri" w:hint="eastAsia"/>
          <w:sz w:val="32"/>
          <w:szCs w:val="32"/>
          <w:lang w:eastAsia="zh-TW"/>
        </w:rPr>
        <w:t>權力及報酬之連結</w:t>
      </w:r>
    </w:p>
    <w:p w:rsidR="006B0B76" w:rsidRPr="00621356" w:rsidRDefault="006B0B76"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imesNewRoman" w:hint="eastAsia"/>
          <w:color w:val="000000"/>
          <w:kern w:val="0"/>
          <w:sz w:val="32"/>
          <w:szCs w:val="32"/>
        </w:rPr>
        <w:t>除了具有對被投資者之權力以及來自對被投資者之參與之變動報酬</w:t>
      </w:r>
      <w:proofErr w:type="gramStart"/>
      <w:r w:rsidRPr="00621356">
        <w:rPr>
          <w:rFonts w:ascii="標楷體" w:eastAsia="標楷體" w:hAnsi="標楷體" w:cs="TimesNewRoman" w:hint="eastAsia"/>
          <w:color w:val="000000"/>
          <w:kern w:val="0"/>
          <w:sz w:val="32"/>
          <w:szCs w:val="32"/>
        </w:rPr>
        <w:t>之暴險或</w:t>
      </w:r>
      <w:proofErr w:type="gramEnd"/>
      <w:r w:rsidRPr="00621356">
        <w:rPr>
          <w:rFonts w:ascii="標楷體" w:eastAsia="標楷體" w:hAnsi="標楷體" w:cs="TimesNewRoman" w:hint="eastAsia"/>
          <w:color w:val="000000"/>
          <w:kern w:val="0"/>
          <w:sz w:val="32"/>
          <w:szCs w:val="32"/>
        </w:rPr>
        <w:t>權利外，第三項</w:t>
      </w:r>
      <w:r w:rsidRPr="00621356">
        <w:rPr>
          <w:rFonts w:ascii="標楷體" w:eastAsia="標楷體" w:hAnsi="標楷體" w:cs="TTB7CF9C5CtCID-WinCharSetFFFF-H" w:hint="eastAsia"/>
          <w:color w:val="000000"/>
          <w:kern w:val="0"/>
          <w:sz w:val="32"/>
          <w:szCs w:val="32"/>
        </w:rPr>
        <w:t>也是</w:t>
      </w:r>
      <w:r w:rsidRPr="00621356">
        <w:rPr>
          <w:rFonts w:ascii="標楷體" w:eastAsia="標楷體" w:hAnsi="標楷體" w:cs="TimesNewRoman" w:hint="eastAsia"/>
          <w:color w:val="000000"/>
          <w:kern w:val="0"/>
          <w:sz w:val="32"/>
          <w:szCs w:val="32"/>
        </w:rPr>
        <w:t>最後一項控制要素為，</w:t>
      </w:r>
      <w:r w:rsidRPr="00621356">
        <w:rPr>
          <w:rFonts w:ascii="標楷體" w:eastAsia="標楷體" w:hAnsi="標楷體" w:cs="TTB7CF9C5CtCID-WinCharSetFFFF-H" w:hint="eastAsia"/>
          <w:color w:val="000000"/>
          <w:kern w:val="0"/>
          <w:sz w:val="32"/>
          <w:szCs w:val="32"/>
        </w:rPr>
        <w:t>投資者具有使用其權力以影響投資者來自對被投資者之參與之報酬之能力。</w:t>
      </w:r>
    </w:p>
    <w:p w:rsidR="006B0B76" w:rsidRPr="00621356" w:rsidRDefault="006B0B76" w:rsidP="0055564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因此，具決策權之投資者應決定其</w:t>
      </w:r>
      <w:proofErr w:type="gramStart"/>
      <w:r w:rsidRPr="00621356">
        <w:rPr>
          <w:rFonts w:ascii="標楷體" w:eastAsia="標楷體" w:hAnsi="標楷體" w:cs="TTB7CF9C5CtCID-WinCharSetFFFF-H" w:hint="eastAsia"/>
          <w:color w:val="000000"/>
          <w:kern w:val="0"/>
          <w:sz w:val="32"/>
          <w:szCs w:val="32"/>
        </w:rPr>
        <w:t>係屬主理</w:t>
      </w:r>
      <w:proofErr w:type="gramEnd"/>
      <w:r w:rsidRPr="00621356">
        <w:rPr>
          <w:rFonts w:ascii="標楷體" w:eastAsia="標楷體" w:hAnsi="標楷體" w:cs="TTB7CF9C5CtCID-WinCharSetFFFF-H" w:hint="eastAsia"/>
          <w:color w:val="000000"/>
          <w:kern w:val="0"/>
          <w:sz w:val="32"/>
          <w:szCs w:val="32"/>
        </w:rPr>
        <w:t>人或代理人。屬代理人之投資者，當其行使被授予之決策權時，並不控制被投資者。</w:t>
      </w:r>
    </w:p>
    <w:p w:rsidR="006B0B76" w:rsidRPr="00621356" w:rsidRDefault="00AF549A" w:rsidP="0055564D">
      <w:pPr>
        <w:spacing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關於</w:t>
      </w:r>
      <w:r w:rsidR="006B0B76" w:rsidRPr="00621356">
        <w:rPr>
          <w:rFonts w:ascii="標楷體" w:eastAsia="標楷體" w:hAnsi="標楷體" w:cs="TTB7CF9C5CtCID-WinCharSetFFFF-H" w:hint="eastAsia"/>
          <w:color w:val="000000"/>
          <w:kern w:val="0"/>
          <w:sz w:val="32"/>
          <w:szCs w:val="32"/>
        </w:rPr>
        <w:t>判定決策者係屬代理人或主理人，</w:t>
      </w:r>
      <w:r w:rsidRPr="00621356">
        <w:rPr>
          <w:rFonts w:ascii="標楷體" w:eastAsia="標楷體" w:hAnsi="標楷體" w:cs="TTB7CF9C5CtCID-WinCharSetFFFF-H" w:hint="eastAsia"/>
          <w:color w:val="000000"/>
          <w:kern w:val="0"/>
          <w:sz w:val="32"/>
          <w:szCs w:val="32"/>
        </w:rPr>
        <w:t>請參考</w:t>
      </w:r>
      <w:r w:rsidRPr="00AD7AE3">
        <w:rPr>
          <w:rFonts w:ascii="標楷體" w:eastAsia="標楷體" w:hAnsi="標楷體" w:cs="TTB7CF9C5CtCID-WinCharSetFFFF-H" w:hint="eastAsia"/>
          <w:b/>
          <w:color w:val="000000" w:themeColor="text1"/>
          <w:kern w:val="0"/>
          <w:sz w:val="32"/>
          <w:szCs w:val="32"/>
        </w:rPr>
        <w:t>「IFRS 10</w:t>
      </w:r>
      <w:proofErr w:type="gramStart"/>
      <w:r w:rsidRPr="00AD7AE3">
        <w:rPr>
          <w:rFonts w:ascii="標楷體" w:eastAsia="標楷體" w:hAnsi="標楷體" w:cs="TTB7CF9C5CtCID-WinCharSetFFFF-H" w:hint="eastAsia"/>
          <w:b/>
          <w:color w:val="000000" w:themeColor="text1"/>
          <w:kern w:val="0"/>
          <w:sz w:val="32"/>
          <w:szCs w:val="32"/>
        </w:rPr>
        <w:t>判斷屬主理</w:t>
      </w:r>
      <w:proofErr w:type="gramEnd"/>
      <w:r w:rsidRPr="00AD7AE3">
        <w:rPr>
          <w:rFonts w:ascii="標楷體" w:eastAsia="標楷體" w:hAnsi="標楷體" w:cs="TTB7CF9C5CtCID-WinCharSetFFFF-H" w:hint="eastAsia"/>
          <w:b/>
          <w:color w:val="000000" w:themeColor="text1"/>
          <w:kern w:val="0"/>
          <w:sz w:val="32"/>
          <w:szCs w:val="32"/>
        </w:rPr>
        <w:t>人</w:t>
      </w:r>
      <w:r w:rsidRPr="00AD7AE3">
        <w:rPr>
          <w:rFonts w:ascii="標楷體" w:eastAsia="標楷體" w:hAnsi="標楷體" w:cs="TTB7CF9C5CtCID-WinCharSetFFFF-H"/>
          <w:b/>
          <w:color w:val="000000" w:themeColor="text1"/>
          <w:kern w:val="0"/>
          <w:sz w:val="32"/>
          <w:szCs w:val="32"/>
        </w:rPr>
        <w:t>/</w:t>
      </w:r>
      <w:r w:rsidRPr="00AD7AE3">
        <w:rPr>
          <w:rFonts w:ascii="標楷體" w:eastAsia="標楷體" w:hAnsi="標楷體" w:cs="TTB7CF9C5CtCID-WinCharSetFFFF-H" w:hint="eastAsia"/>
          <w:b/>
          <w:color w:val="000000" w:themeColor="text1"/>
          <w:kern w:val="0"/>
          <w:sz w:val="32"/>
          <w:szCs w:val="32"/>
        </w:rPr>
        <w:t>代理人之指引</w:t>
      </w:r>
      <w:r w:rsidRPr="00621356">
        <w:rPr>
          <w:rFonts w:ascii="標楷體" w:eastAsia="標楷體" w:hAnsi="標楷體" w:cs="TTB7CF9C5CtCID-WinCharSetFFFF-H" w:hint="eastAsia"/>
          <w:b/>
          <w:color w:val="0070C0"/>
          <w:kern w:val="0"/>
          <w:sz w:val="32"/>
          <w:szCs w:val="32"/>
        </w:rPr>
        <w:t>」</w:t>
      </w:r>
      <w:r w:rsidR="006B0B76" w:rsidRPr="00621356">
        <w:rPr>
          <w:rFonts w:ascii="標楷體" w:eastAsia="標楷體" w:hAnsi="標楷體" w:cs="TTB7CF9C5CtCID-WinCharSetFFFF-H" w:hint="eastAsia"/>
          <w:color w:val="000000"/>
          <w:kern w:val="0"/>
          <w:sz w:val="32"/>
          <w:szCs w:val="32"/>
        </w:rPr>
        <w:t>。</w:t>
      </w:r>
    </w:p>
    <w:p w:rsidR="00C9369D" w:rsidRPr="00621356" w:rsidRDefault="00C9369D" w:rsidP="00621356">
      <w:pPr>
        <w:pStyle w:val="1"/>
        <w:keepNext w:val="0"/>
        <w:numPr>
          <w:ilvl w:val="0"/>
          <w:numId w:val="29"/>
        </w:numPr>
        <w:spacing w:line="400" w:lineRule="exact"/>
        <w:rPr>
          <w:rFonts w:ascii="標楷體" w:eastAsia="標楷體" w:hAnsi="標楷體"/>
          <w:sz w:val="32"/>
          <w:szCs w:val="32"/>
        </w:rPr>
      </w:pPr>
      <w:r w:rsidRPr="00621356">
        <w:rPr>
          <w:rFonts w:ascii="標楷體" w:eastAsia="標楷體" w:hAnsi="標楷體" w:hint="eastAsia"/>
          <w:sz w:val="32"/>
          <w:szCs w:val="32"/>
        </w:rPr>
        <w:t>結論及實務提醒事項</w:t>
      </w:r>
    </w:p>
    <w:p w:rsidR="00641CCA" w:rsidRPr="00621356" w:rsidRDefault="008A3D1E" w:rsidP="0055564D">
      <w:pPr>
        <w:autoSpaceDE w:val="0"/>
        <w:autoSpaceDN w:val="0"/>
        <w:adjustRightInd w:val="0"/>
        <w:spacing w:before="100" w:beforeAutospacing="1" w:after="100" w:afterAutospacing="1" w:line="400" w:lineRule="exact"/>
        <w:ind w:firstLineChars="200" w:firstLine="640"/>
        <w:rPr>
          <w:rFonts w:ascii="標楷體" w:eastAsia="標楷體" w:hAnsi="標楷體" w:cs="Calibri"/>
          <w:kern w:val="0"/>
          <w:sz w:val="32"/>
          <w:szCs w:val="32"/>
          <w:lang w:val="en-GB"/>
        </w:rPr>
      </w:pPr>
      <w:r w:rsidRPr="00621356">
        <w:rPr>
          <w:rFonts w:ascii="標楷體" w:eastAsia="標楷體" w:hAnsi="標楷體" w:cs="Calibri"/>
          <w:kern w:val="0"/>
          <w:sz w:val="32"/>
          <w:szCs w:val="32"/>
          <w:lang w:val="en-GB"/>
        </w:rPr>
        <w:t>IFRS 10以「</w:t>
      </w:r>
      <w:r w:rsidRPr="00621356">
        <w:rPr>
          <w:rFonts w:ascii="標楷體" w:eastAsia="標楷體" w:hAnsi="標楷體" w:cs="Calibri"/>
          <w:b/>
          <w:kern w:val="0"/>
          <w:sz w:val="32"/>
          <w:szCs w:val="32"/>
          <w:lang w:val="en-GB"/>
        </w:rPr>
        <w:t>控制</w:t>
      </w:r>
      <w:r w:rsidR="00684CDC" w:rsidRPr="00621356">
        <w:rPr>
          <w:rFonts w:ascii="標楷體" w:eastAsia="標楷體" w:hAnsi="標楷體" w:cs="Calibri"/>
          <w:kern w:val="0"/>
          <w:sz w:val="32"/>
          <w:szCs w:val="32"/>
          <w:lang w:val="en-GB"/>
        </w:rPr>
        <w:t>」之觀念作為評估一被投資者是否為子公司之決定因素。</w:t>
      </w:r>
      <w:r w:rsidR="00641CCA" w:rsidRPr="00621356">
        <w:rPr>
          <w:rFonts w:ascii="標楷體" w:eastAsia="標楷體" w:hAnsi="標楷體" w:cs="Calibri"/>
          <w:kern w:val="0"/>
          <w:sz w:val="32"/>
          <w:szCs w:val="32"/>
          <w:lang w:val="en-GB"/>
        </w:rPr>
        <w:t>IFRS 10所定義之</w:t>
      </w:r>
      <w:r w:rsidR="00641CCA" w:rsidRPr="00621356">
        <w:rPr>
          <w:rFonts w:ascii="標楷體" w:eastAsia="標楷體" w:hAnsi="標楷體" w:cs="TTB7CF9C5CtCID-WinCharSetFFFF-H"/>
          <w:color w:val="000000"/>
          <w:kern w:val="0"/>
          <w:sz w:val="32"/>
          <w:szCs w:val="32"/>
        </w:rPr>
        <w:t>控制</w:t>
      </w:r>
      <w:r w:rsidR="00641CCA" w:rsidRPr="00621356">
        <w:rPr>
          <w:rFonts w:ascii="標楷體" w:eastAsia="標楷體" w:hAnsi="標楷體" w:cs="Calibri"/>
          <w:kern w:val="0"/>
          <w:sz w:val="32"/>
          <w:szCs w:val="32"/>
          <w:lang w:val="en-GB"/>
        </w:rPr>
        <w:t>包含三項要素：權力、變動報酬及權力</w:t>
      </w:r>
      <w:r w:rsidR="00784453" w:rsidRPr="00621356">
        <w:rPr>
          <w:rFonts w:ascii="標楷體" w:eastAsia="標楷體" w:hAnsi="標楷體" w:cs="Calibri" w:hint="eastAsia"/>
          <w:kern w:val="0"/>
          <w:sz w:val="32"/>
          <w:szCs w:val="32"/>
          <w:lang w:val="en-GB"/>
        </w:rPr>
        <w:t>與報酬之連結</w:t>
      </w:r>
      <w:r w:rsidR="00641CCA" w:rsidRPr="00621356">
        <w:rPr>
          <w:rFonts w:ascii="標楷體" w:eastAsia="標楷體" w:hAnsi="標楷體" w:cs="Calibri"/>
          <w:kern w:val="0"/>
          <w:sz w:val="32"/>
          <w:szCs w:val="32"/>
          <w:lang w:val="en-GB"/>
        </w:rPr>
        <w:t>。投資者必須具有所有三項要素以斷定其控制一被投資者。控制之評估係基於具體事實</w:t>
      </w:r>
      <w:r w:rsidR="00641CCA" w:rsidRPr="00621356">
        <w:rPr>
          <w:rFonts w:ascii="標楷體" w:eastAsia="標楷體" w:hAnsi="標楷體" w:cs="Calibri" w:hint="eastAsia"/>
          <w:kern w:val="0"/>
          <w:sz w:val="32"/>
          <w:szCs w:val="32"/>
          <w:lang w:val="en-GB"/>
        </w:rPr>
        <w:t>及</w:t>
      </w:r>
      <w:r w:rsidR="00641CCA" w:rsidRPr="00621356">
        <w:rPr>
          <w:rFonts w:ascii="標楷體" w:eastAsia="標楷體" w:hAnsi="標楷體" w:cs="Calibri"/>
          <w:kern w:val="0"/>
          <w:sz w:val="32"/>
          <w:szCs w:val="32"/>
          <w:lang w:val="en-GB"/>
        </w:rPr>
        <w:t>情況，若三項要素中有任何變動</w:t>
      </w:r>
      <w:r w:rsidR="00641CCA" w:rsidRPr="00621356">
        <w:rPr>
          <w:rFonts w:ascii="標楷體" w:eastAsia="標楷體" w:hAnsi="標楷體" w:cs="Calibri" w:hint="eastAsia"/>
          <w:kern w:val="0"/>
          <w:sz w:val="32"/>
          <w:szCs w:val="32"/>
          <w:lang w:val="en-GB"/>
        </w:rPr>
        <w:t>跡象</w:t>
      </w:r>
      <w:r w:rsidR="00641CCA" w:rsidRPr="00621356">
        <w:rPr>
          <w:rFonts w:ascii="標楷體" w:eastAsia="標楷體" w:hAnsi="標楷體" w:cs="Calibri"/>
          <w:kern w:val="0"/>
          <w:sz w:val="32"/>
          <w:szCs w:val="32"/>
          <w:lang w:val="en-GB"/>
        </w:rPr>
        <w:t>，應重新評估</w:t>
      </w:r>
      <w:r w:rsidR="00641CCA" w:rsidRPr="00621356">
        <w:rPr>
          <w:rFonts w:ascii="標楷體" w:eastAsia="標楷體" w:hAnsi="標楷體" w:cs="Calibri" w:hint="eastAsia"/>
          <w:kern w:val="0"/>
          <w:sz w:val="32"/>
          <w:szCs w:val="32"/>
          <w:lang w:val="en-GB"/>
        </w:rPr>
        <w:t>其結論</w:t>
      </w:r>
      <w:r w:rsidR="00641CCA" w:rsidRPr="00621356">
        <w:rPr>
          <w:rFonts w:ascii="標楷體" w:eastAsia="標楷體" w:hAnsi="標楷體" w:cs="Calibri"/>
          <w:kern w:val="0"/>
          <w:sz w:val="32"/>
          <w:szCs w:val="32"/>
          <w:lang w:val="en-GB"/>
        </w:rPr>
        <w:t>。</w:t>
      </w:r>
    </w:p>
    <w:p w:rsidR="003955F2" w:rsidRPr="0055564D" w:rsidRDefault="003955F2" w:rsidP="0055564D">
      <w:pPr>
        <w:autoSpaceDE w:val="0"/>
        <w:autoSpaceDN w:val="0"/>
        <w:adjustRightInd w:val="0"/>
        <w:spacing w:line="400" w:lineRule="exact"/>
        <w:ind w:firstLineChars="200" w:firstLine="640"/>
        <w:rPr>
          <w:rFonts w:ascii="標楷體" w:eastAsia="標楷體" w:hAnsi="標楷體" w:cs="標楷體"/>
          <w:color w:val="000000" w:themeColor="text1"/>
          <w:kern w:val="0"/>
          <w:sz w:val="32"/>
          <w:szCs w:val="32"/>
        </w:rPr>
      </w:pPr>
      <w:r w:rsidRPr="00621356">
        <w:rPr>
          <w:rFonts w:ascii="標楷體" w:eastAsia="標楷體" w:hAnsi="標楷體" w:cs="標楷體" w:hint="eastAsia"/>
          <w:color w:val="000000"/>
          <w:kern w:val="0"/>
          <w:sz w:val="32"/>
          <w:szCs w:val="32"/>
        </w:rPr>
        <w:t>該等要素及</w:t>
      </w:r>
      <w:proofErr w:type="gramStart"/>
      <w:r w:rsidRPr="00621356">
        <w:rPr>
          <w:rFonts w:ascii="標楷體" w:eastAsia="標楷體" w:hAnsi="標楷體" w:cs="標楷體" w:hint="eastAsia"/>
          <w:color w:val="000000"/>
          <w:kern w:val="0"/>
          <w:sz w:val="32"/>
          <w:szCs w:val="32"/>
        </w:rPr>
        <w:t>及</w:t>
      </w:r>
      <w:proofErr w:type="gramEnd"/>
      <w:r w:rsidRPr="00621356">
        <w:rPr>
          <w:rFonts w:ascii="標楷體" w:eastAsia="標楷體" w:hAnsi="標楷體" w:cs="標楷體" w:hint="eastAsia"/>
          <w:color w:val="000000"/>
          <w:kern w:val="0"/>
          <w:sz w:val="32"/>
          <w:szCs w:val="32"/>
        </w:rPr>
        <w:t>相關因素之評估，在實務應用上可能相當具挑戰性，因為很可能會涉及重大程度的判斷。在某些部分，</w:t>
      </w:r>
      <w:r w:rsidRPr="00621356">
        <w:rPr>
          <w:rFonts w:ascii="標楷體" w:eastAsia="標楷體" w:hAnsi="標楷體" w:cs="Calibri"/>
          <w:color w:val="000000"/>
          <w:kern w:val="0"/>
          <w:sz w:val="32"/>
          <w:szCs w:val="32"/>
        </w:rPr>
        <w:t xml:space="preserve">IFRS 10 </w:t>
      </w:r>
      <w:r w:rsidRPr="00621356">
        <w:rPr>
          <w:rFonts w:ascii="標楷體" w:eastAsia="標楷體" w:hAnsi="標楷體" w:cs="標楷體" w:hint="eastAsia"/>
          <w:color w:val="000000"/>
          <w:kern w:val="0"/>
          <w:sz w:val="32"/>
          <w:szCs w:val="32"/>
        </w:rPr>
        <w:t>並未提供</w:t>
      </w:r>
      <w:proofErr w:type="gramStart"/>
      <w:r w:rsidRPr="00621356">
        <w:rPr>
          <w:rFonts w:ascii="標楷體" w:eastAsia="標楷體" w:hAnsi="標楷體" w:cs="Calibri"/>
          <w:color w:val="000000"/>
          <w:kern w:val="0"/>
          <w:sz w:val="32"/>
          <w:szCs w:val="32"/>
        </w:rPr>
        <w:t>”</w:t>
      </w:r>
      <w:proofErr w:type="gramEnd"/>
      <w:r w:rsidRPr="00621356">
        <w:rPr>
          <w:rFonts w:ascii="標楷體" w:eastAsia="標楷體" w:hAnsi="標楷體" w:cs="標楷體" w:hint="eastAsia"/>
          <w:color w:val="000000"/>
          <w:kern w:val="0"/>
          <w:sz w:val="32"/>
          <w:szCs w:val="32"/>
        </w:rPr>
        <w:t>清楚界線</w:t>
      </w:r>
      <w:r w:rsidRPr="00621356">
        <w:rPr>
          <w:rFonts w:ascii="標楷體" w:eastAsia="標楷體" w:hAnsi="標楷體" w:cs="Calibri"/>
          <w:color w:val="000000"/>
          <w:kern w:val="0"/>
          <w:sz w:val="32"/>
          <w:szCs w:val="32"/>
        </w:rPr>
        <w:t>(bright line)</w:t>
      </w:r>
      <w:proofErr w:type="gramStart"/>
      <w:r w:rsidRPr="00621356">
        <w:rPr>
          <w:rFonts w:ascii="標楷體" w:eastAsia="標楷體" w:hAnsi="標楷體" w:cs="Calibri"/>
          <w:color w:val="000000"/>
          <w:kern w:val="0"/>
          <w:sz w:val="32"/>
          <w:szCs w:val="32"/>
        </w:rPr>
        <w:t>”</w:t>
      </w:r>
      <w:proofErr w:type="gramEnd"/>
      <w:r w:rsidRPr="00621356">
        <w:rPr>
          <w:rFonts w:ascii="標楷體" w:eastAsia="標楷體" w:hAnsi="標楷體" w:cs="Calibri" w:hint="eastAsia"/>
          <w:color w:val="000000"/>
          <w:kern w:val="0"/>
          <w:sz w:val="32"/>
          <w:szCs w:val="32"/>
        </w:rPr>
        <w:t>，比方說，</w:t>
      </w:r>
      <w:r w:rsidRPr="00621356">
        <w:rPr>
          <w:rFonts w:ascii="標楷體" w:eastAsia="標楷體" w:hAnsi="標楷體" w:cs="Calibri" w:hint="eastAsia"/>
          <w:color w:val="000000"/>
          <w:kern w:val="0"/>
          <w:sz w:val="32"/>
          <w:szCs w:val="32"/>
        </w:rPr>
        <w:lastRenderedPageBreak/>
        <w:t>持股多少以上會具有實質權力，</w:t>
      </w:r>
      <w:r w:rsidRPr="00621356">
        <w:rPr>
          <w:rFonts w:ascii="標楷體" w:eastAsia="標楷體" w:hAnsi="標楷體" w:cs="Calibri" w:hint="eastAsia"/>
          <w:kern w:val="0"/>
          <w:sz w:val="32"/>
          <w:szCs w:val="32"/>
          <w:lang w:val="en-GB"/>
        </w:rPr>
        <w:t>實務應用IFRS 10時，應基於個案之事實</w:t>
      </w:r>
      <w:r w:rsidRPr="0055564D">
        <w:rPr>
          <w:rFonts w:ascii="標楷體" w:eastAsia="標楷體" w:hAnsi="標楷體" w:cs="Calibri" w:hint="eastAsia"/>
          <w:color w:val="000000" w:themeColor="text1"/>
          <w:kern w:val="0"/>
          <w:sz w:val="32"/>
          <w:szCs w:val="32"/>
          <w:lang w:val="en-GB"/>
        </w:rPr>
        <w:t>及情況，進行審慎判斷</w:t>
      </w:r>
      <w:r w:rsidRPr="0055564D">
        <w:rPr>
          <w:rFonts w:ascii="標楷體" w:eastAsia="標楷體" w:hAnsi="標楷體" w:cs="標楷體" w:hint="eastAsia"/>
          <w:color w:val="000000" w:themeColor="text1"/>
          <w:kern w:val="0"/>
          <w:sz w:val="32"/>
          <w:szCs w:val="32"/>
        </w:rPr>
        <w:t>。</w:t>
      </w:r>
    </w:p>
    <w:p w:rsidR="00C9369D" w:rsidRPr="0055564D" w:rsidRDefault="00C9369D" w:rsidP="00621356">
      <w:pPr>
        <w:pStyle w:val="1"/>
        <w:keepNext w:val="0"/>
        <w:numPr>
          <w:ilvl w:val="0"/>
          <w:numId w:val="29"/>
        </w:numPr>
        <w:spacing w:line="400" w:lineRule="exact"/>
        <w:rPr>
          <w:rFonts w:ascii="標楷體" w:eastAsia="標楷體" w:hAnsi="標楷體"/>
          <w:color w:val="000000" w:themeColor="text1"/>
          <w:sz w:val="32"/>
          <w:szCs w:val="32"/>
        </w:rPr>
      </w:pPr>
      <w:r w:rsidRPr="0055564D">
        <w:rPr>
          <w:rFonts w:ascii="標楷體" w:eastAsia="標楷體" w:hAnsi="標楷體" w:hint="eastAsia"/>
          <w:color w:val="000000" w:themeColor="text1"/>
          <w:sz w:val="32"/>
          <w:szCs w:val="32"/>
        </w:rPr>
        <w:t>資料來源</w:t>
      </w:r>
    </w:p>
    <w:p w:rsidR="00AD7AE3" w:rsidRPr="00AD7AE3" w:rsidRDefault="00C9369D" w:rsidP="00AD7AE3">
      <w:pPr>
        <w:pStyle w:val="a4"/>
        <w:widowControl/>
        <w:numPr>
          <w:ilvl w:val="0"/>
          <w:numId w:val="32"/>
        </w:numPr>
        <w:spacing w:before="100" w:beforeAutospacing="1" w:after="100" w:afterAutospacing="1" w:line="400" w:lineRule="exact"/>
        <w:ind w:leftChars="0"/>
        <w:rPr>
          <w:rFonts w:ascii="標楷體" w:eastAsia="標楷體" w:hAnsi="標楷體"/>
          <w:color w:val="000000" w:themeColor="text1"/>
          <w:sz w:val="32"/>
          <w:szCs w:val="32"/>
        </w:rPr>
      </w:pPr>
      <w:r w:rsidRPr="00AD7AE3">
        <w:rPr>
          <w:rFonts w:ascii="標楷體" w:eastAsia="標楷體" w:hAnsi="標楷體"/>
          <w:color w:val="000000" w:themeColor="text1"/>
          <w:sz w:val="32"/>
          <w:szCs w:val="32"/>
        </w:rPr>
        <w:t>IFRS 10 合併財務報表正體中文版</w:t>
      </w:r>
    </w:p>
    <w:p w:rsidR="00C9369D" w:rsidRPr="00AD7AE3" w:rsidRDefault="001F66CA" w:rsidP="00AD7AE3">
      <w:pPr>
        <w:pStyle w:val="a4"/>
        <w:widowControl/>
        <w:numPr>
          <w:ilvl w:val="0"/>
          <w:numId w:val="32"/>
        </w:numPr>
        <w:spacing w:before="100" w:beforeAutospacing="1" w:after="100" w:afterAutospacing="1" w:line="400" w:lineRule="exact"/>
        <w:ind w:leftChars="0"/>
        <w:rPr>
          <w:rFonts w:ascii="標楷體" w:eastAsia="標楷體" w:hAnsi="標楷體"/>
          <w:color w:val="000000" w:themeColor="text1"/>
          <w:sz w:val="32"/>
          <w:szCs w:val="32"/>
        </w:rPr>
      </w:pPr>
      <w:hyperlink r:id="rId15" w:anchor="book2013" w:history="1">
        <w:r w:rsidR="00C9369D" w:rsidRPr="00AD7AE3">
          <w:rPr>
            <w:rFonts w:ascii="標楷體" w:eastAsia="標楷體" w:hAnsi="標楷體"/>
            <w:color w:val="000000" w:themeColor="text1"/>
            <w:sz w:val="32"/>
            <w:szCs w:val="32"/>
          </w:rPr>
          <w:t xml:space="preserve">iGAAP 2013 </w:t>
        </w:r>
      </w:hyperlink>
      <w:r w:rsidR="00C9369D" w:rsidRPr="00AD7AE3">
        <w:rPr>
          <w:rFonts w:ascii="標楷體" w:eastAsia="標楷體" w:hAnsi="標楷體"/>
          <w:color w:val="000000" w:themeColor="text1"/>
          <w:sz w:val="32"/>
          <w:szCs w:val="32"/>
        </w:rPr>
        <w:t xml:space="preserve"> IFRS全方位深入解析</w:t>
      </w:r>
      <w:r w:rsidR="00BB2340" w:rsidRPr="00AD7AE3">
        <w:rPr>
          <w:rFonts w:ascii="標楷體" w:eastAsia="標楷體" w:hAnsi="標楷體" w:hint="eastAsia"/>
          <w:color w:val="000000" w:themeColor="text1"/>
          <w:sz w:val="32"/>
          <w:szCs w:val="32"/>
        </w:rPr>
        <w:t>第三</w:t>
      </w:r>
      <w:proofErr w:type="gramStart"/>
      <w:r w:rsidR="00BB2340" w:rsidRPr="00AD7AE3">
        <w:rPr>
          <w:rFonts w:ascii="標楷體" w:eastAsia="標楷體" w:hAnsi="標楷體" w:hint="eastAsia"/>
          <w:color w:val="000000" w:themeColor="text1"/>
          <w:sz w:val="32"/>
          <w:szCs w:val="32"/>
        </w:rPr>
        <w:t>冊</w:t>
      </w:r>
      <w:proofErr w:type="gramEnd"/>
      <w:r w:rsidR="00C9369D" w:rsidRPr="00AD7AE3">
        <w:rPr>
          <w:rFonts w:ascii="標楷體" w:eastAsia="標楷體" w:hAnsi="標楷體"/>
          <w:color w:val="000000" w:themeColor="text1"/>
          <w:sz w:val="32"/>
          <w:szCs w:val="32"/>
        </w:rPr>
        <w:t>第40章合併財務報表(</w:t>
      </w:r>
      <w:proofErr w:type="gramStart"/>
      <w:r w:rsidR="00C9369D" w:rsidRPr="00AD7AE3">
        <w:rPr>
          <w:rFonts w:ascii="標楷體" w:eastAsia="標楷體" w:hAnsi="標楷體"/>
          <w:color w:val="000000" w:themeColor="text1"/>
          <w:sz w:val="32"/>
          <w:szCs w:val="32"/>
        </w:rPr>
        <w:t>勤業眾信</w:t>
      </w:r>
      <w:proofErr w:type="gramEnd"/>
      <w:r w:rsidR="00BB2340" w:rsidRPr="00AD7AE3">
        <w:rPr>
          <w:rFonts w:ascii="標楷體" w:eastAsia="標楷體" w:hAnsi="標楷體" w:hint="eastAsia"/>
          <w:color w:val="000000" w:themeColor="text1"/>
          <w:sz w:val="32"/>
          <w:szCs w:val="32"/>
        </w:rPr>
        <w:t>出版</w:t>
      </w:r>
      <w:r w:rsidR="00C9369D" w:rsidRPr="00AD7AE3">
        <w:rPr>
          <w:rFonts w:ascii="標楷體" w:eastAsia="標楷體" w:hAnsi="標楷體"/>
          <w:color w:val="000000" w:themeColor="text1"/>
          <w:sz w:val="32"/>
          <w:szCs w:val="32"/>
        </w:rPr>
        <w:t>)</w:t>
      </w:r>
    </w:p>
    <w:p w:rsidR="003C51AB" w:rsidRDefault="00C9369D" w:rsidP="00621356">
      <w:pPr>
        <w:pStyle w:val="1"/>
        <w:keepNext w:val="0"/>
        <w:numPr>
          <w:ilvl w:val="0"/>
          <w:numId w:val="29"/>
        </w:numPr>
        <w:spacing w:line="400" w:lineRule="exact"/>
        <w:rPr>
          <w:rFonts w:ascii="標楷體" w:eastAsia="標楷體" w:hAnsi="標楷體"/>
          <w:sz w:val="32"/>
          <w:szCs w:val="32"/>
        </w:rPr>
      </w:pPr>
      <w:r w:rsidRPr="00621356">
        <w:rPr>
          <w:rFonts w:ascii="標楷體" w:eastAsia="標楷體" w:hAnsi="標楷體" w:hint="eastAsia"/>
          <w:sz w:val="32"/>
          <w:szCs w:val="32"/>
        </w:rPr>
        <w:t>其他</w:t>
      </w:r>
    </w:p>
    <w:p w:rsidR="003C51AB" w:rsidRPr="003C51AB" w:rsidRDefault="0055564D" w:rsidP="003C51AB">
      <w:pPr>
        <w:pStyle w:val="1"/>
        <w:keepNext w:val="0"/>
        <w:numPr>
          <w:ilvl w:val="0"/>
          <w:numId w:val="33"/>
        </w:numPr>
        <w:spacing w:line="400" w:lineRule="exact"/>
        <w:rPr>
          <w:rFonts w:ascii="標楷體" w:eastAsia="標楷體" w:hAnsi="標楷體"/>
          <w:b w:val="0"/>
          <w:sz w:val="32"/>
          <w:szCs w:val="32"/>
        </w:rPr>
      </w:pPr>
      <w:r w:rsidRPr="003C51AB">
        <w:rPr>
          <w:rFonts w:ascii="標楷體" w:eastAsia="標楷體" w:hAnsi="標楷體" w:hint="eastAsia"/>
          <w:b w:val="0"/>
          <w:sz w:val="32"/>
          <w:szCs w:val="32"/>
        </w:rPr>
        <w:t>宣導會講義及</w:t>
      </w:r>
      <w:proofErr w:type="spellStart"/>
      <w:r w:rsidRPr="003C51AB">
        <w:rPr>
          <w:rFonts w:ascii="標楷體" w:eastAsia="標楷體" w:hAnsi="標楷體" w:hint="eastAsia"/>
          <w:b w:val="0"/>
          <w:sz w:val="32"/>
          <w:szCs w:val="32"/>
        </w:rPr>
        <w:t>Webpro</w:t>
      </w:r>
      <w:proofErr w:type="spellEnd"/>
      <w:r w:rsidR="003C51AB" w:rsidRPr="003C51AB">
        <w:rPr>
          <w:rFonts w:ascii="標楷體" w:eastAsia="標楷體" w:hAnsi="標楷體" w:hint="eastAsia"/>
          <w:b w:val="0"/>
          <w:sz w:val="32"/>
          <w:szCs w:val="32"/>
        </w:rPr>
        <w:t>影音連結</w:t>
      </w:r>
    </w:p>
    <w:p w:rsidR="004C24E2" w:rsidRPr="00764F27" w:rsidRDefault="00641CCA" w:rsidP="00764F27">
      <w:pPr>
        <w:pStyle w:val="1"/>
        <w:keepNext w:val="0"/>
        <w:numPr>
          <w:ilvl w:val="0"/>
          <w:numId w:val="33"/>
        </w:numPr>
        <w:spacing w:line="400" w:lineRule="exact"/>
        <w:rPr>
          <w:rFonts w:ascii="標楷體" w:eastAsia="標楷體" w:hAnsi="標楷體"/>
          <w:b w:val="0"/>
          <w:sz w:val="32"/>
          <w:szCs w:val="32"/>
        </w:rPr>
      </w:pPr>
      <w:r w:rsidRPr="003C51AB">
        <w:rPr>
          <w:rFonts w:ascii="標楷體" w:eastAsia="標楷體" w:hAnsi="標楷體" w:cs="Calibri" w:hint="eastAsia"/>
          <w:b w:val="0"/>
          <w:sz w:val="32"/>
          <w:szCs w:val="32"/>
        </w:rPr>
        <w:t>附錄</w:t>
      </w:r>
      <w:r w:rsidR="00764F27">
        <w:rPr>
          <w:rFonts w:ascii="標楷體" w:eastAsia="標楷體" w:hAnsi="標楷體" w:cs="Calibri" w:hint="eastAsia"/>
          <w:b w:val="0"/>
          <w:sz w:val="32"/>
          <w:szCs w:val="32"/>
        </w:rPr>
        <w:t>-</w:t>
      </w:r>
      <w:r w:rsidR="004C24E2" w:rsidRPr="00764F27">
        <w:rPr>
          <w:rFonts w:ascii="標楷體" w:eastAsia="標楷體" w:hAnsi="標楷體" w:cs="TTB7CF9C5CtCID-WinCharSetFFFF-H"/>
          <w:color w:val="000000" w:themeColor="text1"/>
          <w:kern w:val="0"/>
          <w:sz w:val="32"/>
          <w:szCs w:val="32"/>
        </w:rPr>
        <w:t>IFRS 10</w:t>
      </w:r>
      <w:r w:rsidR="00764F27">
        <w:rPr>
          <w:rFonts w:ascii="標楷體" w:eastAsia="標楷體" w:hAnsi="標楷體" w:cs="TTB7CF9C5CtCID-WinCharSetFFFF-H" w:hint="eastAsia"/>
          <w:color w:val="000000" w:themeColor="text1"/>
          <w:kern w:val="0"/>
          <w:sz w:val="32"/>
          <w:szCs w:val="32"/>
        </w:rPr>
        <w:t>：</w:t>
      </w:r>
      <w:r w:rsidR="004C24E2" w:rsidRPr="00764F27">
        <w:rPr>
          <w:rFonts w:ascii="標楷體" w:eastAsia="標楷體" w:hAnsi="標楷體" w:cs="TTB7CF9C5CtCID-WinCharSetFFFF-H"/>
          <w:color w:val="000000" w:themeColor="text1"/>
          <w:kern w:val="0"/>
          <w:sz w:val="32"/>
          <w:szCs w:val="32"/>
        </w:rPr>
        <w:t>B18</w:t>
      </w:r>
      <w:r w:rsidR="004C24E2" w:rsidRPr="00764F27">
        <w:rPr>
          <w:rFonts w:ascii="標楷體" w:eastAsia="標楷體" w:hAnsi="標楷體" w:cs="TTB7CF9C5CtCID-WinCharSetFFFF-H" w:hint="eastAsia"/>
          <w:color w:val="000000" w:themeColor="text1"/>
          <w:kern w:val="0"/>
          <w:sz w:val="32"/>
          <w:szCs w:val="32"/>
        </w:rPr>
        <w:t>~B</w:t>
      </w:r>
      <w:r w:rsidR="00684CDC" w:rsidRPr="00764F27">
        <w:rPr>
          <w:rFonts w:ascii="標楷體" w:eastAsia="標楷體" w:hAnsi="標楷體" w:cs="TTB7CF9C5CtCID-WinCharSetFFFF-H" w:hint="eastAsia"/>
          <w:color w:val="000000" w:themeColor="text1"/>
          <w:kern w:val="0"/>
          <w:sz w:val="32"/>
          <w:szCs w:val="32"/>
        </w:rPr>
        <w:t>21</w:t>
      </w:r>
    </w:p>
    <w:p w:rsidR="00684CDC" w:rsidRPr="00621356" w:rsidRDefault="00684CDC" w:rsidP="00024F7D">
      <w:pPr>
        <w:autoSpaceDE w:val="0"/>
        <w:autoSpaceDN w:val="0"/>
        <w:adjustRightInd w:val="0"/>
        <w:spacing w:before="100" w:beforeAutospacing="1" w:after="100" w:afterAutospacing="1"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當</w:t>
      </w:r>
      <w:r w:rsidRPr="00621356">
        <w:rPr>
          <w:rFonts w:ascii="標楷體" w:eastAsia="標楷體" w:hAnsi="標楷體" w:cs="TTB7CF9C5CtCID-WinCharSetFFFF-H"/>
          <w:color w:val="000000"/>
          <w:kern w:val="0"/>
          <w:sz w:val="32"/>
          <w:szCs w:val="32"/>
        </w:rPr>
        <w:t>難以判定投資者之權利是否足以賦予其對被投資者之權力</w:t>
      </w:r>
      <w:r w:rsidRPr="00621356">
        <w:rPr>
          <w:rFonts w:ascii="標楷體" w:eastAsia="標楷體" w:hAnsi="標楷體" w:cs="TTB7CF9C5CtCID-WinCharSetFFFF-H" w:hint="eastAsia"/>
          <w:color w:val="000000"/>
          <w:kern w:val="0"/>
          <w:sz w:val="32"/>
          <w:szCs w:val="32"/>
        </w:rPr>
        <w:t>時，</w:t>
      </w:r>
      <w:r w:rsidRPr="00621356">
        <w:rPr>
          <w:rFonts w:ascii="標楷體" w:eastAsia="標楷體" w:hAnsi="標楷體" w:cs="TTB7CF9C5CtCID-WinCharSetFFFF-H"/>
          <w:color w:val="000000"/>
          <w:kern w:val="0"/>
          <w:sz w:val="32"/>
          <w:szCs w:val="32"/>
        </w:rPr>
        <w:t>為能執行對權力之評估，投資者應考量其是否具有實際能力以片面主導</w:t>
      </w:r>
      <w:proofErr w:type="gramStart"/>
      <w:r w:rsidRPr="00621356">
        <w:rPr>
          <w:rFonts w:ascii="標楷體" w:eastAsia="標楷體" w:hAnsi="標楷體" w:cs="TTB7CF9C5CtCID-WinCharSetFFFF-H"/>
          <w:color w:val="000000"/>
          <w:kern w:val="0"/>
          <w:sz w:val="32"/>
          <w:szCs w:val="32"/>
        </w:rPr>
        <w:t>攸</w:t>
      </w:r>
      <w:proofErr w:type="gramEnd"/>
      <w:r w:rsidRPr="00621356">
        <w:rPr>
          <w:rFonts w:ascii="標楷體" w:eastAsia="標楷體" w:hAnsi="標楷體" w:cs="TTB7CF9C5CtCID-WinCharSetFFFF-H"/>
          <w:color w:val="000000"/>
          <w:kern w:val="0"/>
          <w:sz w:val="32"/>
          <w:szCs w:val="32"/>
        </w:rPr>
        <w:t>關活動之證據。投資者</w:t>
      </w:r>
      <w:r w:rsidRPr="00621356">
        <w:rPr>
          <w:rFonts w:ascii="標楷體" w:eastAsia="標楷體" w:hAnsi="標楷體" w:cs="TTB7CF9C5CtCID-WinCharSetFFFF-H" w:hint="eastAsia"/>
          <w:color w:val="000000"/>
          <w:kern w:val="0"/>
          <w:sz w:val="32"/>
          <w:szCs w:val="32"/>
        </w:rPr>
        <w:t>應考量是否有以下</w:t>
      </w:r>
      <w:r w:rsidRPr="00621356">
        <w:rPr>
          <w:rFonts w:ascii="標楷體" w:eastAsia="標楷體" w:hAnsi="標楷體" w:cs="TTB7CF9C5CtCID-WinCharSetFFFF-H"/>
          <w:color w:val="000000"/>
          <w:kern w:val="0"/>
          <w:sz w:val="32"/>
          <w:szCs w:val="32"/>
        </w:rPr>
        <w:t>(但不限於)</w:t>
      </w:r>
      <w:r w:rsidRPr="00621356">
        <w:rPr>
          <w:rFonts w:ascii="標楷體" w:eastAsia="標楷體" w:hAnsi="標楷體" w:cs="TTB7CF9C5CtCID-WinCharSetFFFF-H" w:hint="eastAsia"/>
          <w:color w:val="000000"/>
          <w:kern w:val="0"/>
          <w:sz w:val="32"/>
          <w:szCs w:val="32"/>
        </w:rPr>
        <w:t>因素</w:t>
      </w:r>
      <w:r w:rsidRPr="00621356">
        <w:rPr>
          <w:rFonts w:ascii="標楷體" w:eastAsia="標楷體" w:hAnsi="標楷體" w:cs="TTB7CF9C5CtCID-WinCharSetFFFF-H"/>
          <w:color w:val="000000"/>
          <w:kern w:val="0"/>
          <w:sz w:val="32"/>
          <w:szCs w:val="32"/>
        </w:rPr>
        <w:t>：</w:t>
      </w:r>
    </w:p>
    <w:p w:rsidR="00684CDC" w:rsidRPr="00621356" w:rsidRDefault="00684CDC" w:rsidP="00621356">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[IFRS 10</w:t>
      </w:r>
      <w:r w:rsidR="0013053F">
        <w:rPr>
          <w:rFonts w:ascii="標楷體" w:eastAsia="標楷體" w:hAnsi="標楷體" w:cs="TTB7CF9C5CtCID-WinCharSetFFFF-H" w:hint="eastAsia"/>
          <w:color w:val="000000"/>
          <w:kern w:val="0"/>
          <w:sz w:val="32"/>
          <w:szCs w:val="32"/>
        </w:rPr>
        <w:t>：</w:t>
      </w:r>
      <w:r w:rsidRPr="00621356">
        <w:rPr>
          <w:rFonts w:ascii="標楷體" w:eastAsia="標楷體" w:hAnsi="標楷體" w:cs="TTB7CF9C5CtCID-WinCharSetFFFF-H" w:hint="eastAsia"/>
          <w:color w:val="000000"/>
          <w:kern w:val="0"/>
          <w:sz w:val="32"/>
          <w:szCs w:val="32"/>
        </w:rPr>
        <w:t>B18]</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投資者並無合約權利即可任命或核准被投資者具有能力以主導</w:t>
      </w:r>
      <w:proofErr w:type="gramStart"/>
      <w:r w:rsidRPr="00621356">
        <w:rPr>
          <w:rFonts w:ascii="標楷體" w:eastAsia="標楷體" w:hAnsi="標楷體" w:cs="TTB7CF9C5CtCID-WinCharSetFFFF-H"/>
          <w:color w:val="000000"/>
          <w:kern w:val="0"/>
          <w:sz w:val="32"/>
          <w:szCs w:val="32"/>
        </w:rPr>
        <w:t>攸</w:t>
      </w:r>
      <w:proofErr w:type="gramEnd"/>
      <w:r w:rsidRPr="00621356">
        <w:rPr>
          <w:rFonts w:ascii="標楷體" w:eastAsia="標楷體" w:hAnsi="標楷體" w:cs="TTB7CF9C5CtCID-WinCharSetFFFF-H"/>
          <w:color w:val="000000"/>
          <w:kern w:val="0"/>
          <w:sz w:val="32"/>
          <w:szCs w:val="32"/>
        </w:rPr>
        <w:t>關活動之主要管理人員</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投資者並無合約權利即可主導被投資者為投資者之利益進行重大交易或可否決對重大交易之任何變動</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投資者可支配被投資者選任治理單位成員之提名程序或自其他表決權持有者取得委託書</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被投資者之主要管理人員係投資者之關係人(例如，被投資者之執行長與投資者之</w:t>
      </w:r>
      <w:proofErr w:type="gramStart"/>
      <w:r w:rsidRPr="00621356">
        <w:rPr>
          <w:rFonts w:ascii="標楷體" w:eastAsia="標楷體" w:hAnsi="標楷體" w:cs="TTB7CF9C5CtCID-WinCharSetFFFF-H"/>
          <w:color w:val="000000"/>
          <w:kern w:val="0"/>
          <w:sz w:val="32"/>
          <w:szCs w:val="32"/>
        </w:rPr>
        <w:t>執行長係同一</w:t>
      </w:r>
      <w:proofErr w:type="gramEnd"/>
      <w:r w:rsidRPr="00621356">
        <w:rPr>
          <w:rFonts w:ascii="標楷體" w:eastAsia="標楷體" w:hAnsi="標楷體" w:cs="TTB7CF9C5CtCID-WinCharSetFFFF-H"/>
          <w:color w:val="000000"/>
          <w:kern w:val="0"/>
          <w:sz w:val="32"/>
          <w:szCs w:val="32"/>
        </w:rPr>
        <w:t>人)</w:t>
      </w:r>
      <w:r w:rsidRPr="00621356">
        <w:rPr>
          <w:rFonts w:ascii="標楷體" w:eastAsia="標楷體" w:hAnsi="標楷體" w:cs="TTB7CF9C5CtCID-WinCharSetFFFF-H" w:hint="eastAsia"/>
          <w:color w:val="000000"/>
          <w:kern w:val="0"/>
          <w:sz w:val="32"/>
          <w:szCs w:val="32"/>
        </w:rPr>
        <w:t>；及/或</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被投資者治理單位之多數成員係投資者之關係人。</w:t>
      </w:r>
    </w:p>
    <w:p w:rsidR="00684CDC" w:rsidRPr="00621356" w:rsidRDefault="00684CDC" w:rsidP="00024F7D">
      <w:pPr>
        <w:autoSpaceDE w:val="0"/>
        <w:autoSpaceDN w:val="0"/>
        <w:adjustRightInd w:val="0"/>
        <w:spacing w:before="100" w:beforeAutospacing="1" w:after="100" w:afterAutospacing="1" w:line="400" w:lineRule="exact"/>
        <w:ind w:firstLineChars="200" w:firstLine="640"/>
        <w:rPr>
          <w:rFonts w:ascii="標楷體" w:eastAsia="標楷體" w:hAnsi="標楷體" w:cs="Calibri"/>
          <w:kern w:val="0"/>
          <w:sz w:val="32"/>
          <w:szCs w:val="32"/>
        </w:rPr>
      </w:pPr>
      <w:proofErr w:type="gramStart"/>
      <w:r w:rsidRPr="00621356">
        <w:rPr>
          <w:rFonts w:ascii="標楷體" w:eastAsia="標楷體" w:hAnsi="標楷體" w:cs="Calibri" w:hint="eastAsia"/>
          <w:kern w:val="0"/>
          <w:sz w:val="32"/>
          <w:szCs w:val="32"/>
        </w:rPr>
        <w:t>併</w:t>
      </w:r>
      <w:proofErr w:type="gramEnd"/>
      <w:r w:rsidRPr="00621356">
        <w:rPr>
          <w:rFonts w:ascii="標楷體" w:eastAsia="標楷體" w:hAnsi="標楷體" w:cs="Calibri" w:hint="eastAsia"/>
          <w:kern w:val="0"/>
          <w:sz w:val="32"/>
          <w:szCs w:val="32"/>
        </w:rPr>
        <w:t>同考量投資者之權利以及IFRS 10</w:t>
      </w:r>
      <w:r w:rsidR="0013053F">
        <w:rPr>
          <w:rFonts w:ascii="標楷體" w:eastAsia="標楷體" w:hAnsi="標楷體" w:cs="Calibri" w:hint="eastAsia"/>
          <w:kern w:val="0"/>
          <w:sz w:val="32"/>
          <w:szCs w:val="32"/>
        </w:rPr>
        <w:t>：</w:t>
      </w:r>
      <w:r w:rsidRPr="00621356">
        <w:rPr>
          <w:rFonts w:ascii="標楷體" w:eastAsia="標楷體" w:hAnsi="標楷體" w:cs="Calibri" w:hint="eastAsia"/>
          <w:kern w:val="0"/>
          <w:sz w:val="32"/>
          <w:szCs w:val="32"/>
        </w:rPr>
        <w:t>B19及B20(參閱下述)所述之</w:t>
      </w:r>
      <w:r w:rsidRPr="00621356">
        <w:rPr>
          <w:rFonts w:ascii="標楷體" w:eastAsia="標楷體" w:hAnsi="標楷體" w:cs="TTB7CF9C5CtCID-WinCharSetFFFF-H"/>
          <w:color w:val="000000"/>
          <w:kern w:val="0"/>
          <w:sz w:val="32"/>
          <w:szCs w:val="32"/>
        </w:rPr>
        <w:t>指標</w:t>
      </w:r>
      <w:r w:rsidRPr="00621356">
        <w:rPr>
          <w:rFonts w:ascii="標楷體" w:eastAsia="標楷體" w:hAnsi="標楷體" w:cs="Calibri" w:hint="eastAsia"/>
          <w:kern w:val="0"/>
          <w:sz w:val="32"/>
          <w:szCs w:val="32"/>
        </w:rPr>
        <w:t>時，IFRS 10</w:t>
      </w:r>
      <w:r w:rsidR="0013053F">
        <w:rPr>
          <w:rFonts w:ascii="標楷體" w:eastAsia="標楷體" w:hAnsi="標楷體" w:cs="Calibri" w:hint="eastAsia"/>
          <w:kern w:val="0"/>
          <w:sz w:val="32"/>
          <w:szCs w:val="32"/>
        </w:rPr>
        <w:t>：</w:t>
      </w:r>
      <w:r w:rsidRPr="00621356">
        <w:rPr>
          <w:rFonts w:ascii="標楷體" w:eastAsia="標楷體" w:hAnsi="標楷體" w:cs="Calibri" w:hint="eastAsia"/>
          <w:kern w:val="0"/>
          <w:sz w:val="32"/>
          <w:szCs w:val="32"/>
        </w:rPr>
        <w:t>B18所列之因素可提供投資者之權利足以</w:t>
      </w:r>
      <w:r w:rsidRPr="00621356">
        <w:rPr>
          <w:rFonts w:ascii="標楷體" w:eastAsia="標楷體" w:hAnsi="標楷體" w:cs="TTB7CF9C5CtCID-WinCharSetFFFF-H"/>
          <w:color w:val="000000"/>
          <w:kern w:val="0"/>
          <w:sz w:val="32"/>
          <w:szCs w:val="32"/>
        </w:rPr>
        <w:t>賦予其對被投資者之權力</w:t>
      </w:r>
      <w:r w:rsidRPr="00621356">
        <w:rPr>
          <w:rFonts w:ascii="標楷體" w:eastAsia="標楷體" w:hAnsi="標楷體" w:cs="TTB7CF9C5CtCID-WinCharSetFFFF-H" w:hint="eastAsia"/>
          <w:color w:val="000000"/>
          <w:kern w:val="0"/>
          <w:sz w:val="32"/>
          <w:szCs w:val="32"/>
        </w:rPr>
        <w:t>之證據。</w:t>
      </w:r>
    </w:p>
    <w:p w:rsidR="00684CDC" w:rsidRPr="00621356" w:rsidRDefault="00684CDC" w:rsidP="00024F7D">
      <w:pPr>
        <w:autoSpaceDE w:val="0"/>
        <w:autoSpaceDN w:val="0"/>
        <w:adjustRightInd w:val="0"/>
        <w:spacing w:before="100" w:beforeAutospacing="1" w:after="100" w:afterAutospacing="1" w:line="400" w:lineRule="exact"/>
        <w:ind w:firstLineChars="200" w:firstLine="640"/>
        <w:jc w:val="both"/>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有時，有跡象顯示投資者與被</w:t>
      </w:r>
      <w:proofErr w:type="gramStart"/>
      <w:r w:rsidRPr="00621356">
        <w:rPr>
          <w:rFonts w:ascii="標楷體" w:eastAsia="標楷體" w:hAnsi="標楷體" w:cs="TTB7CF9C5CtCID-WinCharSetFFFF-H"/>
          <w:color w:val="000000"/>
          <w:kern w:val="0"/>
          <w:sz w:val="32"/>
          <w:szCs w:val="32"/>
        </w:rPr>
        <w:t>投資者間有特殊</w:t>
      </w:r>
      <w:proofErr w:type="gramEnd"/>
      <w:r w:rsidRPr="00621356">
        <w:rPr>
          <w:rFonts w:ascii="標楷體" w:eastAsia="標楷體" w:hAnsi="標楷體" w:cs="TTB7CF9C5CtCID-WinCharSetFFFF-H"/>
          <w:color w:val="000000"/>
          <w:kern w:val="0"/>
          <w:sz w:val="32"/>
          <w:szCs w:val="32"/>
        </w:rPr>
        <w:t>關係，此關係顯示投資者對被投資者不只具有消極權益。任何個別指</w:t>
      </w:r>
      <w:r w:rsidRPr="00621356">
        <w:rPr>
          <w:rFonts w:ascii="標楷體" w:eastAsia="標楷體" w:hAnsi="標楷體" w:cs="TTB7CF9C5CtCID-WinCharSetFFFF-H"/>
          <w:color w:val="000000"/>
          <w:kern w:val="0"/>
          <w:sz w:val="32"/>
          <w:szCs w:val="32"/>
        </w:rPr>
        <w:lastRenderedPageBreak/>
        <w:t>標或各種指標之特定結合之存在，未必意味已符合權力條件。惟對被投資者不只具有消極權益，可能顯示投資者具有足夠其他相關權利以賦予其權力，或提供對被投資者既存權力之證據。例如，下列各項顯示投資者對被投資者不只具有消極權益，且與其他權利相互結合可能顯示權力：</w:t>
      </w:r>
    </w:p>
    <w:p w:rsidR="00684CDC" w:rsidRPr="00621356" w:rsidRDefault="00684CDC" w:rsidP="00621356">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hint="eastAsia"/>
          <w:color w:val="000000"/>
          <w:kern w:val="0"/>
          <w:sz w:val="32"/>
          <w:szCs w:val="32"/>
        </w:rPr>
        <w:t>[IFRS 10</w:t>
      </w:r>
      <w:r w:rsidR="0013053F">
        <w:rPr>
          <w:rFonts w:ascii="標楷體" w:eastAsia="標楷體" w:hAnsi="標楷體" w:cs="TTB7CF9C5CtCID-WinCharSetFFFF-H" w:hint="eastAsia"/>
          <w:color w:val="000000"/>
          <w:kern w:val="0"/>
          <w:sz w:val="32"/>
          <w:szCs w:val="32"/>
        </w:rPr>
        <w:t>：</w:t>
      </w:r>
      <w:r w:rsidRPr="00621356">
        <w:rPr>
          <w:rFonts w:ascii="標楷體" w:eastAsia="標楷體" w:hAnsi="標楷體" w:cs="TTB7CF9C5CtCID-WinCharSetFFFF-H" w:hint="eastAsia"/>
          <w:color w:val="000000"/>
          <w:kern w:val="0"/>
          <w:sz w:val="32"/>
          <w:szCs w:val="32"/>
        </w:rPr>
        <w:t>B19]</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具有能力以主導</w:t>
      </w:r>
      <w:proofErr w:type="gramStart"/>
      <w:r w:rsidRPr="00621356">
        <w:rPr>
          <w:rFonts w:ascii="標楷體" w:eastAsia="標楷體" w:hAnsi="標楷體" w:cs="TTB7CF9C5CtCID-WinCharSetFFFF-H"/>
          <w:color w:val="000000"/>
          <w:kern w:val="0"/>
          <w:sz w:val="32"/>
          <w:szCs w:val="32"/>
        </w:rPr>
        <w:t>攸</w:t>
      </w:r>
      <w:proofErr w:type="gramEnd"/>
      <w:r w:rsidRPr="00621356">
        <w:rPr>
          <w:rFonts w:ascii="標楷體" w:eastAsia="標楷體" w:hAnsi="標楷體" w:cs="TTB7CF9C5CtCID-WinCharSetFFFF-H"/>
          <w:color w:val="000000"/>
          <w:kern w:val="0"/>
          <w:sz w:val="32"/>
          <w:szCs w:val="32"/>
        </w:rPr>
        <w:t>關活動之被投資者主要管理人員，係投資者之在職或離職員工</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被投資者之營運有賴於投資者，例如下列情況：</w:t>
      </w:r>
    </w:p>
    <w:p w:rsidR="00684CDC" w:rsidRPr="00621356" w:rsidRDefault="00684CDC" w:rsidP="00621356">
      <w:pPr>
        <w:pStyle w:val="a4"/>
        <w:numPr>
          <w:ilvl w:val="0"/>
          <w:numId w:val="7"/>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被投資者有賴於投資者提供資金予其營運之重要部分</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7"/>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投資者保證被投資者義務之重要部分</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7"/>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被投資者之關鍵服務、技術、</w:t>
      </w:r>
      <w:proofErr w:type="gramStart"/>
      <w:r w:rsidRPr="00621356">
        <w:rPr>
          <w:rFonts w:ascii="標楷體" w:eastAsia="標楷體" w:hAnsi="標楷體" w:cs="TTB7CF9C5CtCID-WinCharSetFFFF-H"/>
          <w:color w:val="000000"/>
          <w:kern w:val="0"/>
          <w:sz w:val="32"/>
          <w:szCs w:val="32"/>
        </w:rPr>
        <w:t>物料或原料</w:t>
      </w:r>
      <w:proofErr w:type="gramEnd"/>
      <w:r w:rsidRPr="00621356">
        <w:rPr>
          <w:rFonts w:ascii="標楷體" w:eastAsia="標楷體" w:hAnsi="標楷體" w:cs="TTB7CF9C5CtCID-WinCharSetFFFF-H"/>
          <w:color w:val="000000"/>
          <w:kern w:val="0"/>
          <w:sz w:val="32"/>
          <w:szCs w:val="32"/>
        </w:rPr>
        <w:t>有賴於投資者</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7"/>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投資者控制對被投資者營運極具關鍵之資產，諸如許可權或商標</w:t>
      </w:r>
      <w:r w:rsidRPr="00621356">
        <w:rPr>
          <w:rFonts w:ascii="標楷體" w:eastAsia="標楷體" w:hAnsi="標楷體" w:cs="TTB7CF9C5CtCID-WinCharSetFFFF-H" w:hint="eastAsia"/>
          <w:color w:val="000000"/>
          <w:kern w:val="0"/>
          <w:sz w:val="32"/>
          <w:szCs w:val="32"/>
        </w:rPr>
        <w:t>；及/或</w:t>
      </w:r>
    </w:p>
    <w:p w:rsidR="00684CDC" w:rsidRPr="00621356" w:rsidRDefault="00684CDC" w:rsidP="00621356">
      <w:pPr>
        <w:pStyle w:val="a4"/>
        <w:numPr>
          <w:ilvl w:val="0"/>
          <w:numId w:val="7"/>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被投資者之主要管理人員有賴於投資者，諸如當投資者之人員具有被投資者營運之專門知識</w:t>
      </w:r>
      <w:r w:rsidRPr="00621356">
        <w:rPr>
          <w:rFonts w:ascii="標楷體" w:eastAsia="標楷體" w:hAnsi="標楷體" w:cs="TTB7CF9C5CtCID-WinCharSetFFFF-H" w:hint="eastAsia"/>
          <w:color w:val="000000"/>
          <w:kern w:val="0"/>
          <w:sz w:val="32"/>
          <w:szCs w:val="32"/>
        </w:rPr>
        <w:t>；</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被投資者活動之重要部分由投資者本身參與或為投資者之利益而操作</w:t>
      </w:r>
      <w:r w:rsidRPr="00621356">
        <w:rPr>
          <w:rFonts w:ascii="標楷體" w:eastAsia="標楷體" w:hAnsi="標楷體" w:cs="TTB7CF9C5CtCID-WinCharSetFFFF-H" w:hint="eastAsia"/>
          <w:color w:val="000000"/>
          <w:kern w:val="0"/>
          <w:sz w:val="32"/>
          <w:szCs w:val="32"/>
        </w:rPr>
        <w:t>；及/或</w:t>
      </w:r>
    </w:p>
    <w:p w:rsidR="00684CDC" w:rsidRPr="00621356" w:rsidRDefault="00684CDC" w:rsidP="00621356">
      <w:pPr>
        <w:pStyle w:val="a4"/>
        <w:numPr>
          <w:ilvl w:val="0"/>
          <w:numId w:val="6"/>
        </w:numPr>
        <w:autoSpaceDE w:val="0"/>
        <w:autoSpaceDN w:val="0"/>
        <w:adjustRightInd w:val="0"/>
        <w:spacing w:before="100" w:beforeAutospacing="1" w:after="100" w:afterAutospacing="1" w:line="400" w:lineRule="exact"/>
        <w:ind w:leftChars="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投資者來自對被投資者之參與之報酬</w:t>
      </w:r>
      <w:proofErr w:type="gramStart"/>
      <w:r w:rsidRPr="00621356">
        <w:rPr>
          <w:rFonts w:ascii="標楷體" w:eastAsia="標楷體" w:hAnsi="標楷體" w:cs="TTB7CF9C5CtCID-WinCharSetFFFF-H"/>
          <w:color w:val="000000"/>
          <w:kern w:val="0"/>
          <w:sz w:val="32"/>
          <w:szCs w:val="32"/>
        </w:rPr>
        <w:t>之暴險或</w:t>
      </w:r>
      <w:proofErr w:type="gramEnd"/>
      <w:r w:rsidRPr="00621356">
        <w:rPr>
          <w:rFonts w:ascii="標楷體" w:eastAsia="標楷體" w:hAnsi="標楷體" w:cs="TTB7CF9C5CtCID-WinCharSetFFFF-H"/>
          <w:color w:val="000000"/>
          <w:kern w:val="0"/>
          <w:sz w:val="32"/>
          <w:szCs w:val="32"/>
        </w:rPr>
        <w:t>權利，不成比例地大於其表決權或其他類似權利。例如，可能有一種情況，於該情況中，投資者對被投資者過半數之報酬有權或暴露於被投資者過半數之報酬，但持有少於半數之被投資者表決權。</w:t>
      </w:r>
    </w:p>
    <w:p w:rsidR="00684CDC" w:rsidRPr="00621356" w:rsidRDefault="00684CDC" w:rsidP="00024F7D">
      <w:pPr>
        <w:autoSpaceDE w:val="0"/>
        <w:autoSpaceDN w:val="0"/>
        <w:adjustRightInd w:val="0"/>
        <w:spacing w:line="400" w:lineRule="exact"/>
        <w:ind w:firstLineChars="200" w:firstLine="640"/>
        <w:rPr>
          <w:rFonts w:ascii="標楷體" w:eastAsia="標楷體" w:hAnsi="標楷體" w:cs="TTB7CF9C5CtCID-WinCharSetFFFF-H"/>
          <w:color w:val="000000"/>
          <w:kern w:val="0"/>
          <w:sz w:val="32"/>
          <w:szCs w:val="32"/>
        </w:rPr>
      </w:pPr>
      <w:r w:rsidRPr="00621356">
        <w:rPr>
          <w:rFonts w:ascii="標楷體" w:eastAsia="標楷體" w:hAnsi="標楷體" w:cs="TTB7CF9C5CtCID-WinCharSetFFFF-H"/>
          <w:color w:val="000000"/>
          <w:kern w:val="0"/>
          <w:sz w:val="32"/>
          <w:szCs w:val="32"/>
        </w:rPr>
        <w:t>投資者來自對被投資者之參與之報酬變異性</w:t>
      </w:r>
      <w:proofErr w:type="gramStart"/>
      <w:r w:rsidRPr="00621356">
        <w:rPr>
          <w:rFonts w:ascii="標楷體" w:eastAsia="標楷體" w:hAnsi="標楷體" w:cs="TTB7CF9C5CtCID-WinCharSetFFFF-H"/>
          <w:color w:val="000000"/>
          <w:kern w:val="0"/>
          <w:sz w:val="32"/>
          <w:szCs w:val="32"/>
        </w:rPr>
        <w:t>之暴險或</w:t>
      </w:r>
      <w:proofErr w:type="gramEnd"/>
      <w:r w:rsidRPr="00621356">
        <w:rPr>
          <w:rFonts w:ascii="標楷體" w:eastAsia="標楷體" w:hAnsi="標楷體" w:cs="TTB7CF9C5CtCID-WinCharSetFFFF-H"/>
          <w:color w:val="000000"/>
          <w:kern w:val="0"/>
          <w:sz w:val="32"/>
          <w:szCs w:val="32"/>
        </w:rPr>
        <w:t>權利愈大時，投資者取得足夠權利以賦予其權力之誘因愈大。因此具有對報酬變異性之</w:t>
      </w:r>
      <w:proofErr w:type="gramStart"/>
      <w:r w:rsidRPr="00621356">
        <w:rPr>
          <w:rFonts w:ascii="標楷體" w:eastAsia="標楷體" w:hAnsi="標楷體" w:cs="TTB7CF9C5CtCID-WinCharSetFFFF-H"/>
          <w:color w:val="000000"/>
          <w:kern w:val="0"/>
          <w:sz w:val="32"/>
          <w:szCs w:val="32"/>
        </w:rPr>
        <w:t>大量暴險為</w:t>
      </w:r>
      <w:proofErr w:type="gramEnd"/>
      <w:r w:rsidRPr="00621356">
        <w:rPr>
          <w:rFonts w:ascii="標楷體" w:eastAsia="標楷體" w:hAnsi="標楷體" w:cs="TTB7CF9C5CtCID-WinCharSetFFFF-H"/>
          <w:color w:val="000000"/>
          <w:kern w:val="0"/>
          <w:sz w:val="32"/>
          <w:szCs w:val="32"/>
        </w:rPr>
        <w:t>投資者可能具有權力之指標。</w:t>
      </w:r>
      <w:proofErr w:type="gramStart"/>
      <w:r w:rsidRPr="00621356">
        <w:rPr>
          <w:rFonts w:ascii="標楷體" w:eastAsia="標楷體" w:hAnsi="標楷體" w:cs="TTB7CF9C5CtCID-WinCharSetFFFF-H"/>
          <w:color w:val="000000"/>
          <w:kern w:val="0"/>
          <w:sz w:val="32"/>
          <w:szCs w:val="32"/>
        </w:rPr>
        <w:t>惟投資者暴險之</w:t>
      </w:r>
      <w:proofErr w:type="gramEnd"/>
      <w:r w:rsidRPr="00621356">
        <w:rPr>
          <w:rFonts w:ascii="標楷體" w:eastAsia="標楷體" w:hAnsi="標楷體" w:cs="TTB7CF9C5CtCID-WinCharSetFFFF-H"/>
          <w:color w:val="000000"/>
          <w:kern w:val="0"/>
          <w:sz w:val="32"/>
          <w:szCs w:val="32"/>
        </w:rPr>
        <w:t>程度本身，並不能決定投資者對被投資者是否具有權力。</w:t>
      </w:r>
      <w:r w:rsidRPr="00621356">
        <w:rPr>
          <w:rFonts w:ascii="標楷體" w:eastAsia="標楷體" w:hAnsi="標楷體" w:cs="TTB7CF9C5CtCID-WinCharSetFFFF-H" w:hint="eastAsia"/>
          <w:color w:val="000000"/>
          <w:kern w:val="0"/>
          <w:sz w:val="32"/>
          <w:szCs w:val="32"/>
        </w:rPr>
        <w:t>[IFRS 10</w:t>
      </w:r>
      <w:r w:rsidR="0013053F">
        <w:rPr>
          <w:rFonts w:ascii="標楷體" w:eastAsia="標楷體" w:hAnsi="標楷體" w:cs="TTB7CF9C5CtCID-WinCharSetFFFF-H" w:hint="eastAsia"/>
          <w:color w:val="000000"/>
          <w:kern w:val="0"/>
          <w:sz w:val="32"/>
          <w:szCs w:val="32"/>
        </w:rPr>
        <w:t>：</w:t>
      </w:r>
      <w:r w:rsidRPr="00621356">
        <w:rPr>
          <w:rFonts w:ascii="標楷體" w:eastAsia="標楷體" w:hAnsi="標楷體" w:cs="TTB7CF9C5CtCID-WinCharSetFFFF-H" w:hint="eastAsia"/>
          <w:color w:val="000000"/>
          <w:kern w:val="0"/>
          <w:sz w:val="32"/>
          <w:szCs w:val="32"/>
        </w:rPr>
        <w:t>B20]</w:t>
      </w:r>
    </w:p>
    <w:p w:rsidR="00764F27" w:rsidRDefault="00684CDC" w:rsidP="00764F27">
      <w:pPr>
        <w:autoSpaceDE w:val="0"/>
        <w:autoSpaceDN w:val="0"/>
        <w:adjustRightInd w:val="0"/>
        <w:spacing w:before="100" w:beforeAutospacing="1" w:after="100" w:afterAutospacing="1" w:line="400" w:lineRule="exact"/>
        <w:ind w:firstLineChars="200" w:firstLine="640"/>
        <w:rPr>
          <w:rFonts w:ascii="標楷體" w:eastAsia="標楷體" w:hAnsi="標楷體" w:cs="Calibri"/>
          <w:kern w:val="0"/>
          <w:sz w:val="32"/>
          <w:szCs w:val="32"/>
        </w:rPr>
      </w:pPr>
      <w:r w:rsidRPr="00621356">
        <w:rPr>
          <w:rFonts w:ascii="標楷體" w:eastAsia="標楷體" w:hAnsi="標楷體" w:cs="Calibri" w:hint="eastAsia"/>
          <w:kern w:val="0"/>
          <w:sz w:val="32"/>
          <w:szCs w:val="32"/>
        </w:rPr>
        <w:lastRenderedPageBreak/>
        <w:t>當IFRS 10</w:t>
      </w:r>
      <w:r w:rsidR="0013053F">
        <w:rPr>
          <w:rFonts w:ascii="標楷體" w:eastAsia="標楷體" w:hAnsi="標楷體" w:cs="Calibri" w:hint="eastAsia"/>
          <w:kern w:val="0"/>
          <w:sz w:val="32"/>
          <w:szCs w:val="32"/>
        </w:rPr>
        <w:t>：</w:t>
      </w:r>
      <w:r w:rsidRPr="00621356">
        <w:rPr>
          <w:rFonts w:ascii="標楷體" w:eastAsia="標楷體" w:hAnsi="標楷體" w:cs="Calibri" w:hint="eastAsia"/>
          <w:kern w:val="0"/>
          <w:sz w:val="32"/>
          <w:szCs w:val="32"/>
        </w:rPr>
        <w:t>B18列示之因素及IFRS 10</w:t>
      </w:r>
      <w:r w:rsidR="0013053F">
        <w:rPr>
          <w:rFonts w:ascii="標楷體" w:eastAsia="標楷體" w:hAnsi="標楷體" w:cs="Calibri" w:hint="eastAsia"/>
          <w:kern w:val="0"/>
          <w:sz w:val="32"/>
          <w:szCs w:val="32"/>
        </w:rPr>
        <w:t>：</w:t>
      </w:r>
      <w:r w:rsidRPr="00621356">
        <w:rPr>
          <w:rFonts w:ascii="標楷體" w:eastAsia="標楷體" w:hAnsi="標楷體" w:cs="Calibri" w:hint="eastAsia"/>
          <w:kern w:val="0"/>
          <w:sz w:val="32"/>
          <w:szCs w:val="32"/>
        </w:rPr>
        <w:t>B19-B20列示之指標連同投資者之權利考量時，IFRS 10</w:t>
      </w:r>
      <w:r w:rsidR="0013053F">
        <w:rPr>
          <w:rFonts w:ascii="標楷體" w:eastAsia="標楷體" w:hAnsi="標楷體" w:cs="Calibri" w:hint="eastAsia"/>
          <w:kern w:val="0"/>
          <w:sz w:val="32"/>
          <w:szCs w:val="32"/>
        </w:rPr>
        <w:t>：</w:t>
      </w:r>
      <w:r w:rsidRPr="00621356">
        <w:rPr>
          <w:rFonts w:ascii="標楷體" w:eastAsia="標楷體" w:hAnsi="標楷體" w:cs="Calibri" w:hint="eastAsia"/>
          <w:kern w:val="0"/>
          <w:sz w:val="32"/>
          <w:szCs w:val="32"/>
        </w:rPr>
        <w:t>B</w:t>
      </w:r>
      <w:proofErr w:type="gramStart"/>
      <w:r w:rsidRPr="00621356">
        <w:rPr>
          <w:rFonts w:ascii="標楷體" w:eastAsia="標楷體" w:hAnsi="標楷體" w:cs="Calibri" w:hint="eastAsia"/>
          <w:kern w:val="0"/>
          <w:sz w:val="32"/>
          <w:szCs w:val="32"/>
        </w:rPr>
        <w:t>18所述</w:t>
      </w:r>
      <w:proofErr w:type="gramEnd"/>
      <w:r w:rsidRPr="00621356">
        <w:rPr>
          <w:rFonts w:ascii="標楷體" w:eastAsia="標楷體" w:hAnsi="標楷體" w:cs="Calibri" w:hint="eastAsia"/>
          <w:kern w:val="0"/>
          <w:sz w:val="32"/>
          <w:szCs w:val="32"/>
        </w:rPr>
        <w:t>之權力之證據應給予較大之權重。[IFRS 10</w:t>
      </w:r>
      <w:r w:rsidR="0013053F">
        <w:rPr>
          <w:rFonts w:ascii="標楷體" w:eastAsia="標楷體" w:hAnsi="標楷體" w:cs="Calibri" w:hint="eastAsia"/>
          <w:kern w:val="0"/>
          <w:sz w:val="32"/>
          <w:szCs w:val="32"/>
        </w:rPr>
        <w:t>：</w:t>
      </w:r>
      <w:r w:rsidRPr="00621356">
        <w:rPr>
          <w:rFonts w:ascii="標楷體" w:eastAsia="標楷體" w:hAnsi="標楷體" w:cs="Calibri" w:hint="eastAsia"/>
          <w:kern w:val="0"/>
          <w:sz w:val="32"/>
          <w:szCs w:val="32"/>
        </w:rPr>
        <w:t>B21]</w:t>
      </w:r>
    </w:p>
    <w:p w:rsidR="00684CDC" w:rsidRPr="00764F27" w:rsidRDefault="00684CDC" w:rsidP="00764F27">
      <w:pPr>
        <w:autoSpaceDE w:val="0"/>
        <w:autoSpaceDN w:val="0"/>
        <w:adjustRightInd w:val="0"/>
        <w:spacing w:before="100" w:beforeAutospacing="1" w:after="100" w:afterAutospacing="1" w:line="400" w:lineRule="exact"/>
        <w:rPr>
          <w:rFonts w:ascii="標楷體" w:eastAsia="標楷體" w:hAnsi="標楷體" w:cs="Calibri"/>
          <w:kern w:val="0"/>
          <w:sz w:val="32"/>
          <w:szCs w:val="32"/>
        </w:rPr>
      </w:pPr>
      <w:proofErr w:type="gramStart"/>
      <w:r w:rsidRPr="00764F27">
        <w:rPr>
          <w:rFonts w:ascii="標楷體" w:eastAsia="標楷體" w:hAnsi="標楷體" w:cs="TTB7CF9C5CtCID-WinCharSetFFFF-H" w:hint="eastAsia"/>
          <w:b/>
          <w:color w:val="000000" w:themeColor="text1"/>
          <w:kern w:val="0"/>
          <w:sz w:val="32"/>
          <w:szCs w:val="32"/>
        </w:rPr>
        <w:t>釋例</w:t>
      </w:r>
      <w:proofErr w:type="gramEnd"/>
      <w:r w:rsidRPr="00764F27">
        <w:rPr>
          <w:rFonts w:ascii="標楷體" w:eastAsia="標楷體" w:hAnsi="標楷體" w:cs="TTB7CF9C5CtCID-WinCharSetFFFF-H" w:hint="eastAsia"/>
          <w:b/>
          <w:color w:val="000000" w:themeColor="text1"/>
          <w:kern w:val="0"/>
          <w:sz w:val="32"/>
          <w:szCs w:val="32"/>
        </w:rPr>
        <w:t>：表決權對被投資者報酬不具重大影響時之權力</w:t>
      </w:r>
    </w:p>
    <w:tbl>
      <w:tblPr>
        <w:tblStyle w:val="a3"/>
        <w:tblW w:w="0" w:type="auto"/>
        <w:tblLook w:val="04A0"/>
      </w:tblPr>
      <w:tblGrid>
        <w:gridCol w:w="8362"/>
      </w:tblGrid>
      <w:tr w:rsidR="00641CCA" w:rsidRPr="00621356" w:rsidTr="00C142FA">
        <w:tc>
          <w:tcPr>
            <w:tcW w:w="8362" w:type="dxa"/>
            <w:tcBorders>
              <w:top w:val="single" w:sz="4" w:space="0" w:color="auto"/>
              <w:left w:val="single" w:sz="4" w:space="0" w:color="auto"/>
              <w:bottom w:val="single" w:sz="4" w:space="0" w:color="auto"/>
              <w:right w:val="single" w:sz="4" w:space="0" w:color="auto"/>
            </w:tcBorders>
            <w:hideMark/>
          </w:tcPr>
          <w:p w:rsidR="00641CCA" w:rsidRPr="00621356" w:rsidRDefault="00641CCA" w:rsidP="00621356">
            <w:pPr>
              <w:widowControl/>
              <w:spacing w:before="100" w:beforeAutospacing="1" w:after="100" w:afterAutospacing="1" w:line="320" w:lineRule="exact"/>
              <w:jc w:val="both"/>
              <w:rPr>
                <w:rFonts w:ascii="標楷體" w:eastAsia="標楷體" w:hAnsi="標楷體" w:cs="Calibri"/>
                <w:b/>
                <w:kern w:val="0"/>
                <w:sz w:val="28"/>
                <w:szCs w:val="28"/>
                <w:lang w:val="en-GB"/>
              </w:rPr>
            </w:pPr>
            <w:r w:rsidRPr="00621356">
              <w:rPr>
                <w:rFonts w:ascii="標楷體" w:eastAsia="標楷體" w:hAnsi="標楷體" w:cs="Calibri"/>
                <w:b/>
                <w:kern w:val="0"/>
                <w:sz w:val="28"/>
                <w:szCs w:val="28"/>
                <w:lang w:val="en-GB"/>
              </w:rPr>
              <w:t> </w:t>
            </w:r>
            <w:proofErr w:type="gramStart"/>
            <w:r w:rsidRPr="00621356">
              <w:rPr>
                <w:rFonts w:ascii="標楷體" w:eastAsia="標楷體" w:hAnsi="標楷體" w:cs="Calibri" w:hint="eastAsia"/>
                <w:b/>
                <w:kern w:val="0"/>
                <w:sz w:val="28"/>
                <w:szCs w:val="28"/>
                <w:lang w:val="en-GB"/>
              </w:rPr>
              <w:t>釋例</w:t>
            </w:r>
            <w:proofErr w:type="gramEnd"/>
            <w:r w:rsidRPr="00621356">
              <w:rPr>
                <w:rFonts w:ascii="標楷體" w:eastAsia="標楷體" w:hAnsi="標楷體" w:cs="Calibri"/>
                <w:b/>
                <w:kern w:val="0"/>
                <w:sz w:val="28"/>
                <w:szCs w:val="28"/>
                <w:lang w:val="en-GB"/>
              </w:rPr>
              <w:t xml:space="preserve"> </w:t>
            </w:r>
            <w:r w:rsidR="00764F27">
              <w:rPr>
                <w:rFonts w:ascii="標楷體" w:eastAsia="標楷體" w:hAnsi="標楷體" w:cs="Calibri" w:hint="eastAsia"/>
                <w:b/>
                <w:kern w:val="0"/>
                <w:sz w:val="28"/>
                <w:szCs w:val="28"/>
                <w:lang w:val="en-GB"/>
              </w:rPr>
              <w:t>：</w:t>
            </w:r>
            <w:r w:rsidRPr="00621356">
              <w:rPr>
                <w:rFonts w:ascii="標楷體" w:eastAsia="標楷體" w:hAnsi="標楷體" w:cs="Calibri" w:hint="eastAsia"/>
                <w:b/>
                <w:kern w:val="0"/>
                <w:sz w:val="28"/>
                <w:szCs w:val="28"/>
                <w:lang w:val="en-GB"/>
              </w:rPr>
              <w:t>被投資者之活動係預先決定，直至特定事項發生</w:t>
            </w:r>
          </w:p>
          <w:p w:rsidR="00641CCA" w:rsidRPr="00621356" w:rsidRDefault="00641CCA" w:rsidP="00621356">
            <w:pPr>
              <w:widowControl/>
              <w:spacing w:before="100" w:beforeAutospacing="1" w:after="100" w:afterAutospacing="1" w:line="320" w:lineRule="exact"/>
              <w:jc w:val="both"/>
              <w:rPr>
                <w:rFonts w:ascii="標楷體" w:eastAsia="標楷體" w:hAnsi="標楷體" w:cs="Calibri"/>
                <w:kern w:val="0"/>
                <w:sz w:val="28"/>
                <w:szCs w:val="28"/>
                <w:lang w:val="en-GB"/>
              </w:rPr>
            </w:pPr>
            <w:r w:rsidRPr="00621356">
              <w:rPr>
                <w:rFonts w:ascii="標楷體" w:eastAsia="標楷體" w:hAnsi="標楷體" w:cs="Calibri"/>
                <w:kern w:val="0"/>
                <w:sz w:val="28"/>
                <w:szCs w:val="28"/>
                <w:lang w:val="en-GB"/>
              </w:rPr>
              <w:t>[IFRS 10</w:t>
            </w:r>
            <w:r w:rsidR="0013053F">
              <w:rPr>
                <w:rFonts w:ascii="標楷體" w:eastAsia="標楷體" w:hAnsi="標楷體" w:cs="Calibri" w:hint="eastAsia"/>
                <w:kern w:val="0"/>
                <w:sz w:val="28"/>
                <w:szCs w:val="28"/>
                <w:lang w:val="en-GB"/>
              </w:rPr>
              <w:t>：</w:t>
            </w:r>
            <w:r w:rsidRPr="00621356">
              <w:rPr>
                <w:rFonts w:ascii="標楷體" w:eastAsia="標楷體" w:hAnsi="標楷體" w:cs="Calibri" w:hint="eastAsia"/>
                <w:kern w:val="0"/>
                <w:sz w:val="28"/>
                <w:szCs w:val="28"/>
                <w:lang w:val="en-GB"/>
              </w:rPr>
              <w:t>附錄</w:t>
            </w:r>
            <w:r w:rsidRPr="00621356">
              <w:rPr>
                <w:rFonts w:ascii="標楷體" w:eastAsia="標楷體" w:hAnsi="標楷體" w:cs="Calibri"/>
                <w:kern w:val="0"/>
                <w:sz w:val="28"/>
                <w:szCs w:val="28"/>
                <w:lang w:val="en-GB"/>
              </w:rPr>
              <w:t>B</w:t>
            </w:r>
            <w:proofErr w:type="gramStart"/>
            <w:r w:rsidRPr="00621356">
              <w:rPr>
                <w:rFonts w:ascii="標楷體" w:eastAsia="標楷體" w:hAnsi="標楷體" w:cs="Calibri" w:hint="eastAsia"/>
                <w:kern w:val="0"/>
                <w:sz w:val="28"/>
                <w:szCs w:val="28"/>
                <w:lang w:val="en-GB"/>
              </w:rPr>
              <w:t>釋例</w:t>
            </w:r>
            <w:proofErr w:type="gramEnd"/>
            <w:r w:rsidRPr="00621356">
              <w:rPr>
                <w:rFonts w:ascii="標楷體" w:eastAsia="標楷體" w:hAnsi="標楷體" w:cs="Calibri"/>
                <w:kern w:val="0"/>
                <w:sz w:val="28"/>
                <w:szCs w:val="28"/>
                <w:lang w:val="en-GB"/>
              </w:rPr>
              <w:t>11]</w:t>
            </w:r>
          </w:p>
          <w:p w:rsidR="00641CCA" w:rsidRPr="00621356" w:rsidRDefault="00641CCA" w:rsidP="00621356">
            <w:pPr>
              <w:autoSpaceDE w:val="0"/>
              <w:autoSpaceDN w:val="0"/>
              <w:adjustRightInd w:val="0"/>
              <w:spacing w:before="100" w:beforeAutospacing="1" w:after="100" w:afterAutospacing="1" w:line="400" w:lineRule="exact"/>
              <w:jc w:val="both"/>
              <w:rPr>
                <w:rFonts w:ascii="標楷體" w:eastAsia="標楷體" w:hAnsi="標楷體" w:cs="TTB7CF9C5CtCID-WinCharSetFFFF-H"/>
                <w:color w:val="000000"/>
                <w:kern w:val="0"/>
                <w:sz w:val="28"/>
                <w:szCs w:val="28"/>
              </w:rPr>
            </w:pPr>
            <w:r w:rsidRPr="00621356">
              <w:rPr>
                <w:rFonts w:ascii="標楷體" w:eastAsia="標楷體" w:hAnsi="標楷體" w:cs="TTB7CF9C5CtCID-WinCharSetFFFF-H" w:hint="eastAsia"/>
                <w:color w:val="000000"/>
                <w:kern w:val="0"/>
                <w:sz w:val="28"/>
                <w:szCs w:val="28"/>
              </w:rPr>
              <w:t>某被投資者唯一之經營活動</w:t>
            </w:r>
            <w:r w:rsidRPr="00621356">
              <w:rPr>
                <w:rFonts w:ascii="標楷體" w:eastAsia="標楷體" w:hAnsi="標楷體" w:cs="TTB7CF9C5CtCID-WinCharSetFFFF-H"/>
                <w:color w:val="000000"/>
                <w:kern w:val="0"/>
                <w:sz w:val="28"/>
                <w:szCs w:val="28"/>
              </w:rPr>
              <w:t>(</w:t>
            </w:r>
            <w:r w:rsidRPr="00621356">
              <w:rPr>
                <w:rFonts w:ascii="標楷體" w:eastAsia="標楷體" w:hAnsi="標楷體" w:cs="TTB7CF9C5CtCID-WinCharSetFFFF-H" w:hint="eastAsia"/>
                <w:color w:val="000000"/>
                <w:kern w:val="0"/>
                <w:sz w:val="28"/>
                <w:szCs w:val="28"/>
              </w:rPr>
              <w:t>明定於其成立文件</w:t>
            </w:r>
            <w:r w:rsidRPr="00621356">
              <w:rPr>
                <w:rFonts w:ascii="標楷體" w:eastAsia="標楷體" w:hAnsi="標楷體" w:cs="TTB7CF9C5CtCID-WinCharSetFFFF-H"/>
                <w:color w:val="000000"/>
                <w:kern w:val="0"/>
                <w:sz w:val="28"/>
                <w:szCs w:val="28"/>
              </w:rPr>
              <w:t>)</w:t>
            </w:r>
            <w:r w:rsidRPr="00621356">
              <w:rPr>
                <w:rFonts w:ascii="標楷體" w:eastAsia="標楷體" w:hAnsi="標楷體" w:cs="TTB7CF9C5CtCID-WinCharSetFFFF-H" w:hint="eastAsia"/>
                <w:color w:val="000000"/>
                <w:kern w:val="0"/>
                <w:sz w:val="28"/>
                <w:szCs w:val="28"/>
              </w:rPr>
              <w:t>係為投資者購買應收款及逐日提供收付服務。該逐日收付服務包括本金及利息支付到期時之收現及轉交。依投資者與被投資者間另行同意之賣權協議，於應收款違約時被投資者自動將該應收款賣給投資者。唯一之</w:t>
            </w:r>
            <w:proofErr w:type="gramStart"/>
            <w:r w:rsidRPr="00621356">
              <w:rPr>
                <w:rFonts w:ascii="標楷體" w:eastAsia="標楷體" w:hAnsi="標楷體" w:cs="TTB7CF9C5CtCID-WinCharSetFFFF-H" w:hint="eastAsia"/>
                <w:color w:val="000000"/>
                <w:kern w:val="0"/>
                <w:sz w:val="28"/>
                <w:szCs w:val="28"/>
              </w:rPr>
              <w:t>攸</w:t>
            </w:r>
            <w:proofErr w:type="gramEnd"/>
            <w:r w:rsidRPr="00621356">
              <w:rPr>
                <w:rFonts w:ascii="標楷體" w:eastAsia="標楷體" w:hAnsi="標楷體" w:cs="TTB7CF9C5CtCID-WinCharSetFFFF-H" w:hint="eastAsia"/>
                <w:color w:val="000000"/>
                <w:kern w:val="0"/>
                <w:sz w:val="28"/>
                <w:szCs w:val="28"/>
              </w:rPr>
              <w:t>關活動係於違約時管理應收款，因為此乃能重大影響被投資者報酬之唯一活動。管理違約前之應收款非屬</w:t>
            </w:r>
            <w:proofErr w:type="gramStart"/>
            <w:r w:rsidRPr="00621356">
              <w:rPr>
                <w:rFonts w:ascii="標楷體" w:eastAsia="標楷體" w:hAnsi="標楷體" w:cs="TTB7CF9C5CtCID-WinCharSetFFFF-H" w:hint="eastAsia"/>
                <w:color w:val="000000"/>
                <w:kern w:val="0"/>
                <w:sz w:val="28"/>
                <w:szCs w:val="28"/>
              </w:rPr>
              <w:t>攸</w:t>
            </w:r>
            <w:proofErr w:type="gramEnd"/>
            <w:r w:rsidRPr="00621356">
              <w:rPr>
                <w:rFonts w:ascii="標楷體" w:eastAsia="標楷體" w:hAnsi="標楷體" w:cs="TTB7CF9C5CtCID-WinCharSetFFFF-H" w:hint="eastAsia"/>
                <w:color w:val="000000"/>
                <w:kern w:val="0"/>
                <w:sz w:val="28"/>
                <w:szCs w:val="28"/>
              </w:rPr>
              <w:t>關活動，因無須制定能重大影響被投資者報酬之實質性決策－違約前之活動係預先決定，且最多僅於到期時收取現金流量並轉交予投資者。因此，於評估重大影響被投資者報酬之被投資者整體活動時，僅應考量於違約時投資者管理資產之權利。</w:t>
            </w:r>
            <w:proofErr w:type="gramStart"/>
            <w:r w:rsidRPr="00621356">
              <w:rPr>
                <w:rFonts w:ascii="標楷體" w:eastAsia="標楷體" w:hAnsi="標楷體" w:cs="TTB7CF9C5CtCID-WinCharSetFFFF-H" w:hint="eastAsia"/>
                <w:color w:val="000000"/>
                <w:kern w:val="0"/>
                <w:sz w:val="28"/>
                <w:szCs w:val="28"/>
              </w:rPr>
              <w:t>該載具</w:t>
            </w:r>
            <w:proofErr w:type="gramEnd"/>
            <w:r w:rsidRPr="00621356">
              <w:rPr>
                <w:rFonts w:ascii="標楷體" w:eastAsia="標楷體" w:hAnsi="標楷體" w:cs="TTB7CF9C5CtCID-WinCharSetFFFF-H" w:hint="eastAsia"/>
                <w:color w:val="000000"/>
                <w:kern w:val="0"/>
                <w:sz w:val="28"/>
                <w:szCs w:val="28"/>
              </w:rPr>
              <w:t>之設計確保投資者僅於對</w:t>
            </w:r>
            <w:proofErr w:type="gramStart"/>
            <w:r w:rsidRPr="00621356">
              <w:rPr>
                <w:rFonts w:ascii="標楷體" w:eastAsia="標楷體" w:hAnsi="標楷體" w:cs="TTB7CF9C5CtCID-WinCharSetFFFF-H" w:hint="eastAsia"/>
                <w:color w:val="000000"/>
                <w:kern w:val="0"/>
                <w:sz w:val="28"/>
                <w:szCs w:val="28"/>
              </w:rPr>
              <w:t>攸</w:t>
            </w:r>
            <w:proofErr w:type="gramEnd"/>
            <w:r w:rsidRPr="00621356">
              <w:rPr>
                <w:rFonts w:ascii="標楷體" w:eastAsia="標楷體" w:hAnsi="標楷體" w:cs="TTB7CF9C5CtCID-WinCharSetFFFF-H" w:hint="eastAsia"/>
                <w:color w:val="000000"/>
                <w:kern w:val="0"/>
                <w:sz w:val="28"/>
                <w:szCs w:val="28"/>
              </w:rPr>
              <w:t>關活動需要決策職權時具有決策職權。賣權協議之條款屬整體交易及被投資者成立之一部分。因此，賣權協議之條款連同被投資者之成立文件一併導致投資者對被投資者具有權力之結論，即使投資者僅於違約時取得應收款之所有權並於被投資者法律界線之外管理已違約之應收款。</w:t>
            </w:r>
          </w:p>
        </w:tc>
      </w:tr>
    </w:tbl>
    <w:p w:rsidR="00641CCA" w:rsidRPr="00621356" w:rsidRDefault="00641CCA" w:rsidP="00AA7F9A">
      <w:pPr>
        <w:autoSpaceDE w:val="0"/>
        <w:autoSpaceDN w:val="0"/>
        <w:adjustRightInd w:val="0"/>
        <w:spacing w:before="100" w:beforeAutospacing="1" w:after="100" w:afterAutospacing="1" w:line="220" w:lineRule="exact"/>
        <w:rPr>
          <w:rFonts w:ascii="標楷體" w:eastAsia="標楷體" w:hAnsi="標楷體" w:cs="TTB7CF9C5CtCID-WinCharSetFFFF-H"/>
          <w:color w:val="000000"/>
          <w:kern w:val="0"/>
          <w:sz w:val="32"/>
          <w:szCs w:val="32"/>
        </w:rPr>
      </w:pPr>
    </w:p>
    <w:tbl>
      <w:tblPr>
        <w:tblStyle w:val="a3"/>
        <w:tblW w:w="0" w:type="auto"/>
        <w:tblLook w:val="04A0"/>
      </w:tblPr>
      <w:tblGrid>
        <w:gridCol w:w="8362"/>
      </w:tblGrid>
      <w:tr w:rsidR="00641CCA" w:rsidRPr="00621356" w:rsidTr="00C142FA">
        <w:tc>
          <w:tcPr>
            <w:tcW w:w="8362" w:type="dxa"/>
            <w:tcBorders>
              <w:top w:val="single" w:sz="4" w:space="0" w:color="auto"/>
              <w:left w:val="single" w:sz="4" w:space="0" w:color="auto"/>
              <w:bottom w:val="single" w:sz="4" w:space="0" w:color="auto"/>
              <w:right w:val="single" w:sz="4" w:space="0" w:color="auto"/>
            </w:tcBorders>
            <w:hideMark/>
          </w:tcPr>
          <w:p w:rsidR="00641CCA" w:rsidRPr="00621356" w:rsidRDefault="00641CCA" w:rsidP="00621356">
            <w:pPr>
              <w:widowControl/>
              <w:spacing w:before="100" w:beforeAutospacing="1" w:after="100" w:afterAutospacing="1" w:line="320" w:lineRule="exact"/>
              <w:jc w:val="both"/>
              <w:rPr>
                <w:rFonts w:ascii="標楷體" w:eastAsia="標楷體" w:hAnsi="標楷體" w:cs="Calibri"/>
                <w:b/>
                <w:kern w:val="0"/>
                <w:sz w:val="28"/>
                <w:szCs w:val="28"/>
                <w:lang w:val="en-GB"/>
              </w:rPr>
            </w:pPr>
            <w:r w:rsidRPr="00621356">
              <w:rPr>
                <w:rFonts w:ascii="標楷體" w:eastAsia="標楷體" w:hAnsi="標楷體" w:cs="Calibri"/>
                <w:b/>
                <w:kern w:val="0"/>
                <w:sz w:val="28"/>
                <w:szCs w:val="28"/>
                <w:lang w:val="en-GB"/>
              </w:rPr>
              <w:t> </w:t>
            </w:r>
            <w:r w:rsidRPr="00621356">
              <w:rPr>
                <w:rFonts w:ascii="標楷體" w:eastAsia="標楷體" w:hAnsi="標楷體" w:cs="Calibri" w:hint="eastAsia"/>
                <w:b/>
                <w:kern w:val="0"/>
                <w:sz w:val="28"/>
                <w:szCs w:val="28"/>
                <w:lang w:val="en-GB"/>
              </w:rPr>
              <w:t>釋例</w:t>
            </w:r>
            <w:r w:rsidR="00764F27">
              <w:rPr>
                <w:rFonts w:ascii="標楷體" w:eastAsia="標楷體" w:hAnsi="標楷體" w:cs="Calibri" w:hint="eastAsia"/>
                <w:b/>
                <w:kern w:val="0"/>
                <w:sz w:val="28"/>
                <w:szCs w:val="28"/>
                <w:lang w:val="en-GB"/>
              </w:rPr>
              <w:t>：</w:t>
            </w:r>
            <w:r w:rsidRPr="00621356">
              <w:rPr>
                <w:rFonts w:ascii="標楷體" w:eastAsia="標楷體" w:hAnsi="標楷體" w:cs="Calibri" w:hint="eastAsia"/>
                <w:b/>
                <w:kern w:val="0"/>
                <w:sz w:val="28"/>
                <w:szCs w:val="28"/>
                <w:lang w:val="en-GB"/>
              </w:rPr>
              <w:t>被投資者僅有之資產為應收款</w:t>
            </w:r>
          </w:p>
          <w:p w:rsidR="00641CCA" w:rsidRPr="00621356" w:rsidRDefault="00641CCA" w:rsidP="00621356">
            <w:pPr>
              <w:widowControl/>
              <w:spacing w:before="100" w:beforeAutospacing="1" w:after="100" w:afterAutospacing="1" w:line="320" w:lineRule="exact"/>
              <w:jc w:val="both"/>
              <w:rPr>
                <w:rFonts w:ascii="標楷體" w:eastAsia="標楷體" w:hAnsi="標楷體" w:cs="Calibri"/>
                <w:kern w:val="0"/>
                <w:sz w:val="28"/>
                <w:szCs w:val="28"/>
                <w:lang w:val="en-GB"/>
              </w:rPr>
            </w:pPr>
            <w:r w:rsidRPr="00621356">
              <w:rPr>
                <w:rFonts w:ascii="標楷體" w:eastAsia="標楷體" w:hAnsi="標楷體" w:cs="Calibri"/>
                <w:kern w:val="0"/>
                <w:sz w:val="28"/>
                <w:szCs w:val="28"/>
                <w:lang w:val="en-GB"/>
              </w:rPr>
              <w:t>[IFRS 10</w:t>
            </w:r>
            <w:r w:rsidR="0013053F">
              <w:rPr>
                <w:rFonts w:ascii="標楷體" w:eastAsia="標楷體" w:hAnsi="標楷體" w:cs="Calibri" w:hint="eastAsia"/>
                <w:kern w:val="0"/>
                <w:sz w:val="28"/>
                <w:szCs w:val="28"/>
                <w:lang w:val="en-GB"/>
              </w:rPr>
              <w:t>：</w:t>
            </w:r>
            <w:r w:rsidRPr="00621356">
              <w:rPr>
                <w:rFonts w:ascii="標楷體" w:eastAsia="標楷體" w:hAnsi="標楷體" w:cs="Calibri" w:hint="eastAsia"/>
                <w:kern w:val="0"/>
                <w:sz w:val="28"/>
                <w:szCs w:val="28"/>
                <w:lang w:val="en-GB"/>
              </w:rPr>
              <w:t>附錄</w:t>
            </w:r>
            <w:r w:rsidRPr="00621356">
              <w:rPr>
                <w:rFonts w:ascii="標楷體" w:eastAsia="標楷體" w:hAnsi="標楷體" w:cs="Calibri"/>
                <w:kern w:val="0"/>
                <w:sz w:val="28"/>
                <w:szCs w:val="28"/>
                <w:lang w:val="en-GB"/>
              </w:rPr>
              <w:t>B</w:t>
            </w:r>
            <w:proofErr w:type="gramStart"/>
            <w:r w:rsidRPr="00621356">
              <w:rPr>
                <w:rFonts w:ascii="標楷體" w:eastAsia="標楷體" w:hAnsi="標楷體" w:cs="Calibri" w:hint="eastAsia"/>
                <w:kern w:val="0"/>
                <w:sz w:val="28"/>
                <w:szCs w:val="28"/>
                <w:lang w:val="en-GB"/>
              </w:rPr>
              <w:t>釋例</w:t>
            </w:r>
            <w:proofErr w:type="gramEnd"/>
            <w:r w:rsidRPr="00621356">
              <w:rPr>
                <w:rFonts w:ascii="標楷體" w:eastAsia="標楷體" w:hAnsi="標楷體" w:cs="Calibri"/>
                <w:kern w:val="0"/>
                <w:sz w:val="28"/>
                <w:szCs w:val="28"/>
                <w:lang w:val="en-GB"/>
              </w:rPr>
              <w:t>12]</w:t>
            </w:r>
          </w:p>
          <w:p w:rsidR="00641CCA" w:rsidRPr="00621356" w:rsidRDefault="00641CCA" w:rsidP="00621356">
            <w:pPr>
              <w:autoSpaceDE w:val="0"/>
              <w:autoSpaceDN w:val="0"/>
              <w:adjustRightInd w:val="0"/>
              <w:spacing w:before="100" w:beforeAutospacing="1" w:after="100" w:afterAutospacing="1" w:line="400" w:lineRule="exact"/>
              <w:rPr>
                <w:rFonts w:ascii="標楷體" w:eastAsia="標楷體" w:hAnsi="標楷體" w:cs="TTB7CF9C5CtCID-WinCharSetFFFF-H"/>
                <w:color w:val="000000"/>
                <w:kern w:val="0"/>
                <w:sz w:val="28"/>
                <w:szCs w:val="28"/>
              </w:rPr>
            </w:pPr>
            <w:r w:rsidRPr="00621356">
              <w:rPr>
                <w:rFonts w:ascii="標楷體" w:eastAsia="標楷體" w:hAnsi="標楷體" w:cs="TTB7CF9C5CtCID-WinCharSetFFFF-H" w:hint="eastAsia"/>
                <w:color w:val="000000"/>
                <w:kern w:val="0"/>
                <w:sz w:val="28"/>
                <w:szCs w:val="28"/>
              </w:rPr>
              <w:t>某被投資者唯一之資產為應收款。考量被投資者之目的及設計後，唯一</w:t>
            </w:r>
            <w:proofErr w:type="gramStart"/>
            <w:r w:rsidRPr="00621356">
              <w:rPr>
                <w:rFonts w:ascii="標楷體" w:eastAsia="標楷體" w:hAnsi="標楷體" w:cs="TTB7CF9C5CtCID-WinCharSetFFFF-H" w:hint="eastAsia"/>
                <w:color w:val="000000"/>
                <w:kern w:val="0"/>
                <w:sz w:val="28"/>
                <w:szCs w:val="28"/>
              </w:rPr>
              <w:t>攸</w:t>
            </w:r>
            <w:proofErr w:type="gramEnd"/>
            <w:r w:rsidRPr="00621356">
              <w:rPr>
                <w:rFonts w:ascii="標楷體" w:eastAsia="標楷體" w:hAnsi="標楷體" w:cs="TTB7CF9C5CtCID-WinCharSetFFFF-H" w:hint="eastAsia"/>
                <w:color w:val="000000"/>
                <w:kern w:val="0"/>
                <w:sz w:val="28"/>
                <w:szCs w:val="28"/>
              </w:rPr>
              <w:t>關活動經判定係於違約時管理應收款。有能力管理違約應收款之一方即對被投資者具有權力，不論是否有任何債務人已違約。</w:t>
            </w:r>
          </w:p>
        </w:tc>
      </w:tr>
    </w:tbl>
    <w:p w:rsidR="00641CCA" w:rsidRPr="00621356" w:rsidRDefault="00641CCA" w:rsidP="00024F7D">
      <w:pPr>
        <w:spacing w:line="400" w:lineRule="exact"/>
        <w:rPr>
          <w:rFonts w:ascii="標楷體" w:eastAsia="標楷體" w:hAnsi="標楷體"/>
          <w:sz w:val="32"/>
          <w:szCs w:val="32"/>
        </w:rPr>
      </w:pPr>
    </w:p>
    <w:sectPr w:rsidR="00641CCA" w:rsidRPr="00621356" w:rsidSect="0087347D">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6F" w:rsidRDefault="009F136F" w:rsidP="005C1F4C">
      <w:r>
        <w:separator/>
      </w:r>
    </w:p>
  </w:endnote>
  <w:endnote w:type="continuationSeparator" w:id="0">
    <w:p w:rsidR="009F136F" w:rsidRDefault="009F136F" w:rsidP="005C1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4006"/>
      <w:docPartObj>
        <w:docPartGallery w:val="Page Numbers (Bottom of Page)"/>
        <w:docPartUnique/>
      </w:docPartObj>
    </w:sdtPr>
    <w:sdtContent>
      <w:p w:rsidR="005C1F4C" w:rsidRDefault="001F66CA">
        <w:pPr>
          <w:pStyle w:val="a7"/>
          <w:jc w:val="center"/>
        </w:pPr>
        <w:r>
          <w:fldChar w:fldCharType="begin"/>
        </w:r>
        <w:r w:rsidR="005C1F4C">
          <w:instrText>PAGE   \* MERGEFORMAT</w:instrText>
        </w:r>
        <w:r>
          <w:fldChar w:fldCharType="separate"/>
        </w:r>
        <w:r w:rsidR="009C302F" w:rsidRPr="009C302F">
          <w:rPr>
            <w:noProof/>
            <w:lang w:val="zh-TW"/>
          </w:rPr>
          <w:t>20</w:t>
        </w:r>
        <w:r>
          <w:fldChar w:fldCharType="end"/>
        </w:r>
      </w:p>
    </w:sdtContent>
  </w:sdt>
  <w:p w:rsidR="005C1F4C" w:rsidRDefault="005C1F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6F" w:rsidRDefault="009F136F" w:rsidP="005C1F4C">
      <w:r>
        <w:separator/>
      </w:r>
    </w:p>
  </w:footnote>
  <w:footnote w:type="continuationSeparator" w:id="0">
    <w:p w:rsidR="009F136F" w:rsidRDefault="009F136F" w:rsidP="005C1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CB6"/>
    <w:multiLevelType w:val="hybridMultilevel"/>
    <w:tmpl w:val="D8D85570"/>
    <w:lvl w:ilvl="0" w:tplc="F984E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8015E"/>
    <w:multiLevelType w:val="hybridMultilevel"/>
    <w:tmpl w:val="48F41EEE"/>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13501BC5"/>
    <w:multiLevelType w:val="hybridMultilevel"/>
    <w:tmpl w:val="33D026B2"/>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14220C49"/>
    <w:multiLevelType w:val="hybridMultilevel"/>
    <w:tmpl w:val="D8B665D2"/>
    <w:lvl w:ilvl="0" w:tplc="D6EA8B6C">
      <w:start w:val="1"/>
      <w:numFmt w:val="bullet"/>
      <w:pStyle w:val="I1"/>
      <w:lvlText w:val=""/>
      <w:lvlJc w:val="left"/>
      <w:pPr>
        <w:ind w:left="480" w:hanging="480"/>
      </w:pPr>
      <w:rPr>
        <w:rFonts w:ascii="Symbol" w:hAnsi="Symbol" w:hint="default"/>
      </w:rPr>
    </w:lvl>
    <w:lvl w:ilvl="1" w:tplc="8FBC94E4">
      <w:start w:val="1"/>
      <w:numFmt w:val="bullet"/>
      <w:pStyle w:val="I2"/>
      <w:lvlText w:val="。"/>
      <w:lvlJc w:val="left"/>
      <w:pPr>
        <w:ind w:left="960" w:hanging="480"/>
      </w:pPr>
      <w:rPr>
        <w:rFonts w:ascii="標楷體" w:eastAsia="標楷體" w:hAnsi="標楷體" w:hint="eastAsia"/>
        <w:sz w:val="22"/>
        <w:szCs w:val="22"/>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5">
    <w:nsid w:val="18733A74"/>
    <w:multiLevelType w:val="hybridMultilevel"/>
    <w:tmpl w:val="77488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0C1579"/>
    <w:multiLevelType w:val="hybridMultilevel"/>
    <w:tmpl w:val="E0DC074C"/>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3546262"/>
    <w:multiLevelType w:val="hybridMultilevel"/>
    <w:tmpl w:val="0764FBAA"/>
    <w:lvl w:ilvl="0" w:tplc="1338A4FA">
      <w:start w:val="1"/>
      <w:numFmt w:val="bullet"/>
      <w:lvlText w:val=""/>
      <w:lvlJc w:val="left"/>
      <w:pPr>
        <w:ind w:left="967" w:hanging="480"/>
      </w:pPr>
      <w:rPr>
        <w:rFonts w:ascii="Wingdings 2" w:hAnsi="Wingdings 2"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9">
    <w:nsid w:val="359D78EF"/>
    <w:multiLevelType w:val="hybridMultilevel"/>
    <w:tmpl w:val="6FA0DC28"/>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376B3E66"/>
    <w:multiLevelType w:val="hybridMultilevel"/>
    <w:tmpl w:val="FFB800AE"/>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37C4286E"/>
    <w:multiLevelType w:val="hybridMultilevel"/>
    <w:tmpl w:val="99CE1F94"/>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37F614DD"/>
    <w:multiLevelType w:val="hybridMultilevel"/>
    <w:tmpl w:val="443E9370"/>
    <w:lvl w:ilvl="0" w:tplc="36501946">
      <w:start w:val="1"/>
      <w:numFmt w:val="bullet"/>
      <w:lvlText w:val="。"/>
      <w:lvlJc w:val="left"/>
      <w:pPr>
        <w:ind w:left="480" w:hanging="480"/>
      </w:pPr>
      <w:rPr>
        <w:rFonts w:ascii="標楷體" w:eastAsia="標楷體" w:hAnsi="標楷體" w:hint="eastAsia"/>
        <w:color w:val="00B0F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B4A4EBB"/>
    <w:multiLevelType w:val="hybridMultilevel"/>
    <w:tmpl w:val="4A32EA30"/>
    <w:lvl w:ilvl="0" w:tplc="36501946">
      <w:start w:val="1"/>
      <w:numFmt w:val="bullet"/>
      <w:lvlText w:val="。"/>
      <w:lvlJc w:val="left"/>
      <w:pPr>
        <w:ind w:left="480" w:hanging="480"/>
      </w:pPr>
      <w:rPr>
        <w:rFonts w:ascii="標楷體" w:eastAsia="標楷體" w:hAnsi="標楷體" w:hint="eastAsia"/>
        <w:color w:val="00B0F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80E1753"/>
    <w:multiLevelType w:val="hybridMultilevel"/>
    <w:tmpl w:val="EB92E00E"/>
    <w:lvl w:ilvl="0" w:tplc="36501946">
      <w:start w:val="1"/>
      <w:numFmt w:val="bullet"/>
      <w:lvlText w:val="。"/>
      <w:lvlJc w:val="left"/>
      <w:pPr>
        <w:ind w:left="480" w:hanging="480"/>
      </w:pPr>
      <w:rPr>
        <w:rFonts w:ascii="標楷體" w:eastAsia="標楷體" w:hAnsi="標楷體" w:hint="eastAsia"/>
        <w:color w:val="00B0F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89F3443"/>
    <w:multiLevelType w:val="hybridMultilevel"/>
    <w:tmpl w:val="64EADD32"/>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4967310D"/>
    <w:multiLevelType w:val="hybridMultilevel"/>
    <w:tmpl w:val="F7645B02"/>
    <w:lvl w:ilvl="0" w:tplc="ED103196">
      <w:start w:val="1"/>
      <w:numFmt w:val="bullet"/>
      <w:lvlText w:val=""/>
      <w:lvlJc w:val="left"/>
      <w:pPr>
        <w:ind w:left="480" w:hanging="480"/>
      </w:pPr>
      <w:rPr>
        <w:rFonts w:ascii="Wingdings 2" w:hAnsi="Wingdings 2"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4E9C7555"/>
    <w:multiLevelType w:val="hybridMultilevel"/>
    <w:tmpl w:val="2FB481CE"/>
    <w:lvl w:ilvl="0" w:tplc="0409000F">
      <w:start w:val="1"/>
      <w:numFmt w:val="decimal"/>
      <w:lvlText w:val="%1."/>
      <w:lvlJc w:val="left"/>
      <w:pPr>
        <w:ind w:left="967" w:hanging="480"/>
      </w:pPr>
      <w:rPr>
        <w:rFonts w:hint="eastAsia"/>
        <w:color w:val="00B0F0"/>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18">
    <w:nsid w:val="4F832846"/>
    <w:multiLevelType w:val="hybridMultilevel"/>
    <w:tmpl w:val="74EE2DF8"/>
    <w:lvl w:ilvl="0" w:tplc="1338A4F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33B37B8"/>
    <w:multiLevelType w:val="hybridMultilevel"/>
    <w:tmpl w:val="AA48257A"/>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nsid w:val="57E94A63"/>
    <w:multiLevelType w:val="hybridMultilevel"/>
    <w:tmpl w:val="AF4EF308"/>
    <w:lvl w:ilvl="0" w:tplc="36501946">
      <w:start w:val="1"/>
      <w:numFmt w:val="bullet"/>
      <w:lvlText w:val="。"/>
      <w:lvlJc w:val="left"/>
      <w:pPr>
        <w:ind w:left="480" w:hanging="480"/>
      </w:pPr>
      <w:rPr>
        <w:rFonts w:ascii="標楷體" w:eastAsia="標楷體" w:hAnsi="標楷體" w:hint="eastAsia"/>
        <w:color w:val="00B0F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A0242FD"/>
    <w:multiLevelType w:val="hybridMultilevel"/>
    <w:tmpl w:val="182E1382"/>
    <w:lvl w:ilvl="0" w:tplc="EAE27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E33829"/>
    <w:multiLevelType w:val="hybridMultilevel"/>
    <w:tmpl w:val="8B221340"/>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61BF28E1"/>
    <w:multiLevelType w:val="hybridMultilevel"/>
    <w:tmpl w:val="FF46B8E6"/>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62274B97"/>
    <w:multiLevelType w:val="hybridMultilevel"/>
    <w:tmpl w:val="42BEE5BA"/>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nsid w:val="6301765C"/>
    <w:multiLevelType w:val="hybridMultilevel"/>
    <w:tmpl w:val="EAFA2024"/>
    <w:lvl w:ilvl="0" w:tplc="93162464">
      <w:start w:val="1"/>
      <w:numFmt w:val="bullet"/>
      <w:pStyle w:val="abgbulletedlist2"/>
      <w:lvlText w:val=""/>
      <w:lvlJc w:val="left"/>
      <w:pPr>
        <w:tabs>
          <w:tab w:val="num" w:pos="480"/>
        </w:tabs>
        <w:ind w:left="1047" w:hanging="567"/>
      </w:pPr>
      <w:rPr>
        <w:rFonts w:ascii="Wingdings" w:hAnsi="Wingdings" w:hint="default"/>
      </w:rPr>
    </w:lvl>
    <w:lvl w:ilvl="1" w:tplc="08090003">
      <w:start w:val="1"/>
      <w:numFmt w:val="bullet"/>
      <w:lvlText w:val="o"/>
      <w:lvlJc w:val="left"/>
      <w:pPr>
        <w:tabs>
          <w:tab w:val="num" w:pos="1353"/>
        </w:tabs>
        <w:ind w:left="1353" w:hanging="360"/>
      </w:pPr>
      <w:rPr>
        <w:rFonts w:ascii="Courier New" w:hAnsi="Courier New" w:cs="Courier New" w:hint="default"/>
      </w:rPr>
    </w:lvl>
    <w:lvl w:ilvl="2" w:tplc="08090005">
      <w:start w:val="1"/>
      <w:numFmt w:val="bullet"/>
      <w:lvlText w:val=""/>
      <w:lvlJc w:val="left"/>
      <w:pPr>
        <w:tabs>
          <w:tab w:val="num" w:pos="2073"/>
        </w:tabs>
        <w:ind w:left="2073" w:hanging="360"/>
      </w:pPr>
      <w:rPr>
        <w:rFonts w:ascii="Wingdings" w:hAnsi="Wingdings" w:hint="default"/>
      </w:rPr>
    </w:lvl>
    <w:lvl w:ilvl="3" w:tplc="08090001">
      <w:start w:val="1"/>
      <w:numFmt w:val="bullet"/>
      <w:lvlText w:val=""/>
      <w:lvlJc w:val="left"/>
      <w:pPr>
        <w:tabs>
          <w:tab w:val="num" w:pos="2793"/>
        </w:tabs>
        <w:ind w:left="2793" w:hanging="360"/>
      </w:pPr>
      <w:rPr>
        <w:rFonts w:ascii="Symbol" w:hAnsi="Symbol" w:hint="default"/>
      </w:rPr>
    </w:lvl>
    <w:lvl w:ilvl="4" w:tplc="08090003">
      <w:start w:val="1"/>
      <w:numFmt w:val="bullet"/>
      <w:lvlText w:val="o"/>
      <w:lvlJc w:val="left"/>
      <w:pPr>
        <w:tabs>
          <w:tab w:val="num" w:pos="3513"/>
        </w:tabs>
        <w:ind w:left="3513" w:hanging="360"/>
      </w:pPr>
      <w:rPr>
        <w:rFonts w:ascii="Courier New" w:hAnsi="Courier New" w:cs="Courier New" w:hint="default"/>
      </w:rPr>
    </w:lvl>
    <w:lvl w:ilvl="5" w:tplc="08090005">
      <w:start w:val="1"/>
      <w:numFmt w:val="bullet"/>
      <w:lvlText w:val=""/>
      <w:lvlJc w:val="left"/>
      <w:pPr>
        <w:tabs>
          <w:tab w:val="num" w:pos="4233"/>
        </w:tabs>
        <w:ind w:left="4233" w:hanging="360"/>
      </w:pPr>
      <w:rPr>
        <w:rFonts w:ascii="Wingdings" w:hAnsi="Wingdings" w:hint="default"/>
      </w:rPr>
    </w:lvl>
    <w:lvl w:ilvl="6" w:tplc="08090001">
      <w:start w:val="1"/>
      <w:numFmt w:val="bullet"/>
      <w:lvlText w:val=""/>
      <w:lvlJc w:val="left"/>
      <w:pPr>
        <w:tabs>
          <w:tab w:val="num" w:pos="4953"/>
        </w:tabs>
        <w:ind w:left="4953" w:hanging="360"/>
      </w:pPr>
      <w:rPr>
        <w:rFonts w:ascii="Symbol" w:hAnsi="Symbol" w:hint="default"/>
      </w:rPr>
    </w:lvl>
    <w:lvl w:ilvl="7" w:tplc="08090003">
      <w:start w:val="1"/>
      <w:numFmt w:val="bullet"/>
      <w:lvlText w:val="o"/>
      <w:lvlJc w:val="left"/>
      <w:pPr>
        <w:tabs>
          <w:tab w:val="num" w:pos="5673"/>
        </w:tabs>
        <w:ind w:left="5673" w:hanging="360"/>
      </w:pPr>
      <w:rPr>
        <w:rFonts w:ascii="Courier New" w:hAnsi="Courier New" w:cs="Courier New" w:hint="default"/>
      </w:rPr>
    </w:lvl>
    <w:lvl w:ilvl="8" w:tplc="08090005">
      <w:start w:val="1"/>
      <w:numFmt w:val="bullet"/>
      <w:lvlText w:val=""/>
      <w:lvlJc w:val="left"/>
      <w:pPr>
        <w:tabs>
          <w:tab w:val="num" w:pos="6393"/>
        </w:tabs>
        <w:ind w:left="6393" w:hanging="360"/>
      </w:pPr>
      <w:rPr>
        <w:rFonts w:ascii="Wingdings" w:hAnsi="Wingdings" w:hint="default"/>
      </w:rPr>
    </w:lvl>
  </w:abstractNum>
  <w:abstractNum w:abstractNumId="26">
    <w:nsid w:val="65B8035C"/>
    <w:multiLevelType w:val="hybridMultilevel"/>
    <w:tmpl w:val="39722CAC"/>
    <w:lvl w:ilvl="0" w:tplc="09126F8C">
      <w:start w:val="1"/>
      <w:numFmt w:val="bullet"/>
      <w:lvlText w:val="。"/>
      <w:lvlJc w:val="left"/>
      <w:pPr>
        <w:ind w:left="960" w:hanging="480"/>
      </w:pPr>
      <w:rPr>
        <w:rFonts w:ascii="標楷體" w:eastAsia="標楷體" w:hAnsi="標楷體" w:hint="eastAsia"/>
        <w:color w:val="auto"/>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7">
    <w:nsid w:val="65EE2891"/>
    <w:multiLevelType w:val="hybridMultilevel"/>
    <w:tmpl w:val="CC30CA6C"/>
    <w:lvl w:ilvl="0" w:tplc="EBC8E8FC">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240B07"/>
    <w:multiLevelType w:val="hybridMultilevel"/>
    <w:tmpl w:val="980806C4"/>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nsid w:val="6FC1063D"/>
    <w:multiLevelType w:val="hybridMultilevel"/>
    <w:tmpl w:val="1CF43C7C"/>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72172275"/>
    <w:multiLevelType w:val="hybridMultilevel"/>
    <w:tmpl w:val="505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24B03CD"/>
    <w:multiLevelType w:val="hybridMultilevel"/>
    <w:tmpl w:val="A2CE68DA"/>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nsid w:val="7E99096D"/>
    <w:multiLevelType w:val="hybridMultilevel"/>
    <w:tmpl w:val="941C94EC"/>
    <w:lvl w:ilvl="0" w:tplc="1338A4FA">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3"/>
  </w:num>
  <w:num w:numId="2">
    <w:abstractNumId w:val="25"/>
  </w:num>
  <w:num w:numId="3">
    <w:abstractNumId w:val="15"/>
  </w:num>
  <w:num w:numId="4">
    <w:abstractNumId w:val="10"/>
  </w:num>
  <w:num w:numId="5">
    <w:abstractNumId w:val="2"/>
  </w:num>
  <w:num w:numId="6">
    <w:abstractNumId w:val="28"/>
  </w:num>
  <w:num w:numId="7">
    <w:abstractNumId w:val="26"/>
  </w:num>
  <w:num w:numId="8">
    <w:abstractNumId w:val="1"/>
  </w:num>
  <w:num w:numId="9">
    <w:abstractNumId w:val="19"/>
  </w:num>
  <w:num w:numId="10">
    <w:abstractNumId w:val="11"/>
  </w:num>
  <w:num w:numId="11">
    <w:abstractNumId w:val="24"/>
  </w:num>
  <w:num w:numId="12">
    <w:abstractNumId w:val="9"/>
  </w:num>
  <w:num w:numId="13">
    <w:abstractNumId w:val="16"/>
  </w:num>
  <w:num w:numId="14">
    <w:abstractNumId w:val="29"/>
  </w:num>
  <w:num w:numId="15">
    <w:abstractNumId w:val="22"/>
  </w:num>
  <w:num w:numId="16">
    <w:abstractNumId w:val="23"/>
  </w:num>
  <w:num w:numId="17">
    <w:abstractNumId w:val="32"/>
  </w:num>
  <w:num w:numId="18">
    <w:abstractNumId w:val="31"/>
  </w:num>
  <w:num w:numId="19">
    <w:abstractNumId w:val="18"/>
  </w:num>
  <w:num w:numId="20">
    <w:abstractNumId w:val="5"/>
  </w:num>
  <w:num w:numId="21">
    <w:abstractNumId w:val="7"/>
  </w:num>
  <w:num w:numId="22">
    <w:abstractNumId w:val="20"/>
  </w:num>
  <w:num w:numId="23">
    <w:abstractNumId w:val="6"/>
  </w:num>
  <w:num w:numId="24">
    <w:abstractNumId w:val="4"/>
  </w:num>
  <w:num w:numId="25">
    <w:abstractNumId w:val="8"/>
  </w:num>
  <w:num w:numId="26">
    <w:abstractNumId w:val="13"/>
  </w:num>
  <w:num w:numId="27">
    <w:abstractNumId w:val="12"/>
  </w:num>
  <w:num w:numId="28">
    <w:abstractNumId w:val="30"/>
  </w:num>
  <w:num w:numId="29">
    <w:abstractNumId w:val="27"/>
  </w:num>
  <w:num w:numId="30">
    <w:abstractNumId w:val="14"/>
  </w:num>
  <w:num w:numId="31">
    <w:abstractNumId w:val="17"/>
  </w:num>
  <w:num w:numId="32">
    <w:abstractNumId w:val="0"/>
  </w:num>
  <w:num w:numId="33">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152"/>
    <w:rsid w:val="0001311B"/>
    <w:rsid w:val="00024F7D"/>
    <w:rsid w:val="00094BFC"/>
    <w:rsid w:val="000A34E7"/>
    <w:rsid w:val="000A3B6C"/>
    <w:rsid w:val="000C07CB"/>
    <w:rsid w:val="000D5747"/>
    <w:rsid w:val="000D68EF"/>
    <w:rsid w:val="0013053F"/>
    <w:rsid w:val="001325C2"/>
    <w:rsid w:val="00161FE1"/>
    <w:rsid w:val="001A4BBB"/>
    <w:rsid w:val="001D7262"/>
    <w:rsid w:val="001F66CA"/>
    <w:rsid w:val="00230D50"/>
    <w:rsid w:val="00235A73"/>
    <w:rsid w:val="002376BA"/>
    <w:rsid w:val="0025214B"/>
    <w:rsid w:val="002632EB"/>
    <w:rsid w:val="002C2A2C"/>
    <w:rsid w:val="003061BF"/>
    <w:rsid w:val="003163C6"/>
    <w:rsid w:val="00347B99"/>
    <w:rsid w:val="003616FA"/>
    <w:rsid w:val="00383549"/>
    <w:rsid w:val="003955F2"/>
    <w:rsid w:val="003A7DE7"/>
    <w:rsid w:val="003B77C6"/>
    <w:rsid w:val="003C23FB"/>
    <w:rsid w:val="003C51AB"/>
    <w:rsid w:val="003E7BBF"/>
    <w:rsid w:val="00415152"/>
    <w:rsid w:val="004453F7"/>
    <w:rsid w:val="004A1194"/>
    <w:rsid w:val="004B5F7F"/>
    <w:rsid w:val="004C24E2"/>
    <w:rsid w:val="004D3918"/>
    <w:rsid w:val="0055564D"/>
    <w:rsid w:val="00561E23"/>
    <w:rsid w:val="005C1F4C"/>
    <w:rsid w:val="005E0E32"/>
    <w:rsid w:val="005F1390"/>
    <w:rsid w:val="00605539"/>
    <w:rsid w:val="00621356"/>
    <w:rsid w:val="006242F9"/>
    <w:rsid w:val="0062442F"/>
    <w:rsid w:val="00631CE1"/>
    <w:rsid w:val="00636AC8"/>
    <w:rsid w:val="00641CCA"/>
    <w:rsid w:val="00644A42"/>
    <w:rsid w:val="00651118"/>
    <w:rsid w:val="00652B36"/>
    <w:rsid w:val="0066766E"/>
    <w:rsid w:val="00684CDC"/>
    <w:rsid w:val="00693348"/>
    <w:rsid w:val="006B0B76"/>
    <w:rsid w:val="006B3F69"/>
    <w:rsid w:val="006C4F40"/>
    <w:rsid w:val="006E54FF"/>
    <w:rsid w:val="006F235F"/>
    <w:rsid w:val="00706F0F"/>
    <w:rsid w:val="007102DB"/>
    <w:rsid w:val="00721059"/>
    <w:rsid w:val="00764F27"/>
    <w:rsid w:val="007653B2"/>
    <w:rsid w:val="00784453"/>
    <w:rsid w:val="007940C9"/>
    <w:rsid w:val="007C4BE8"/>
    <w:rsid w:val="007E78BC"/>
    <w:rsid w:val="00826EB9"/>
    <w:rsid w:val="00840410"/>
    <w:rsid w:val="00844836"/>
    <w:rsid w:val="008601F8"/>
    <w:rsid w:val="0087347D"/>
    <w:rsid w:val="00875758"/>
    <w:rsid w:val="008835DA"/>
    <w:rsid w:val="008A3D1E"/>
    <w:rsid w:val="008B5C09"/>
    <w:rsid w:val="008C00F8"/>
    <w:rsid w:val="008E0CB6"/>
    <w:rsid w:val="008E39AB"/>
    <w:rsid w:val="00952DFD"/>
    <w:rsid w:val="0095397F"/>
    <w:rsid w:val="009627FB"/>
    <w:rsid w:val="0096767E"/>
    <w:rsid w:val="009A299C"/>
    <w:rsid w:val="009A5659"/>
    <w:rsid w:val="009B7735"/>
    <w:rsid w:val="009C302F"/>
    <w:rsid w:val="009D52E8"/>
    <w:rsid w:val="009E24E7"/>
    <w:rsid w:val="009F136F"/>
    <w:rsid w:val="009F2F91"/>
    <w:rsid w:val="00A14DF6"/>
    <w:rsid w:val="00A40CB3"/>
    <w:rsid w:val="00AA3CAA"/>
    <w:rsid w:val="00AA7F9A"/>
    <w:rsid w:val="00AC1F88"/>
    <w:rsid w:val="00AD7AE3"/>
    <w:rsid w:val="00AF549A"/>
    <w:rsid w:val="00AF74C9"/>
    <w:rsid w:val="00B162ED"/>
    <w:rsid w:val="00B45846"/>
    <w:rsid w:val="00B6002B"/>
    <w:rsid w:val="00BA3437"/>
    <w:rsid w:val="00BB2340"/>
    <w:rsid w:val="00BC28A7"/>
    <w:rsid w:val="00BD59D7"/>
    <w:rsid w:val="00BE08B5"/>
    <w:rsid w:val="00C10E1D"/>
    <w:rsid w:val="00C11B3C"/>
    <w:rsid w:val="00C41600"/>
    <w:rsid w:val="00C53668"/>
    <w:rsid w:val="00C705CB"/>
    <w:rsid w:val="00C768E8"/>
    <w:rsid w:val="00C9369D"/>
    <w:rsid w:val="00CD1B1D"/>
    <w:rsid w:val="00CD7AF9"/>
    <w:rsid w:val="00D47470"/>
    <w:rsid w:val="00D52537"/>
    <w:rsid w:val="00D944D0"/>
    <w:rsid w:val="00D94EF1"/>
    <w:rsid w:val="00DA1DF5"/>
    <w:rsid w:val="00DB2700"/>
    <w:rsid w:val="00DB7D6E"/>
    <w:rsid w:val="00DC5577"/>
    <w:rsid w:val="00DF211D"/>
    <w:rsid w:val="00DF5ED2"/>
    <w:rsid w:val="00E10082"/>
    <w:rsid w:val="00E110C9"/>
    <w:rsid w:val="00E44061"/>
    <w:rsid w:val="00E46976"/>
    <w:rsid w:val="00E62EED"/>
    <w:rsid w:val="00E66CA9"/>
    <w:rsid w:val="00EA01CB"/>
    <w:rsid w:val="00F2366A"/>
    <w:rsid w:val="00F30984"/>
    <w:rsid w:val="00F82A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E2"/>
    <w:pPr>
      <w:widowControl w:val="0"/>
    </w:pPr>
  </w:style>
  <w:style w:type="paragraph" w:styleId="1">
    <w:name w:val="heading 1"/>
    <w:basedOn w:val="a"/>
    <w:next w:val="a"/>
    <w:link w:val="10"/>
    <w:uiPriority w:val="9"/>
    <w:qFormat/>
    <w:rsid w:val="00641CC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6B0B76"/>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442F"/>
    <w:pPr>
      <w:ind w:leftChars="200" w:left="480"/>
    </w:pPr>
  </w:style>
  <w:style w:type="paragraph" w:customStyle="1" w:styleId="abgheadb">
    <w:name w:val="abg_head_b"/>
    <w:basedOn w:val="a"/>
    <w:link w:val="abgheadbChar"/>
    <w:rsid w:val="005C1F4C"/>
    <w:pPr>
      <w:spacing w:before="240" w:after="120"/>
      <w:outlineLvl w:val="2"/>
    </w:pPr>
    <w:rPr>
      <w:rFonts w:ascii="Times New Roman" w:eastAsia="新細明體" w:hAnsi="Times New Roman" w:cs="Times New Roman"/>
      <w:b/>
      <w:color w:val="0000FF"/>
      <w:kern w:val="0"/>
      <w:sz w:val="32"/>
      <w:szCs w:val="20"/>
      <w:lang w:val="en-GB" w:eastAsia="en-US"/>
    </w:rPr>
  </w:style>
  <w:style w:type="character" w:customStyle="1" w:styleId="abgheadbChar">
    <w:name w:val="abg_head_b Char"/>
    <w:link w:val="abgheadb"/>
    <w:rsid w:val="005C1F4C"/>
    <w:rPr>
      <w:rFonts w:ascii="Times New Roman" w:eastAsia="新細明體" w:hAnsi="Times New Roman" w:cs="Times New Roman"/>
      <w:b/>
      <w:color w:val="0000FF"/>
      <w:kern w:val="0"/>
      <w:sz w:val="32"/>
      <w:szCs w:val="20"/>
      <w:lang w:val="en-GB" w:eastAsia="en-US"/>
    </w:rPr>
  </w:style>
  <w:style w:type="paragraph" w:customStyle="1" w:styleId="112">
    <w:name w:val="1.1.2"/>
    <w:basedOn w:val="a"/>
    <w:uiPriority w:val="99"/>
    <w:qFormat/>
    <w:rsid w:val="005C1F4C"/>
    <w:pPr>
      <w:spacing w:before="100" w:beforeAutospacing="1" w:after="100" w:afterAutospacing="1"/>
      <w:jc w:val="both"/>
      <w:outlineLvl w:val="3"/>
    </w:pPr>
    <w:rPr>
      <w:rFonts w:ascii="Calibri" w:eastAsia="標楷體" w:hAnsi="Calibri" w:cs="Calibri"/>
      <w:b/>
      <w:i/>
      <w:color w:val="0000FF"/>
      <w:kern w:val="0"/>
      <w:sz w:val="26"/>
      <w:szCs w:val="26"/>
      <w:lang w:val="en-GB"/>
    </w:rPr>
  </w:style>
  <w:style w:type="paragraph" w:customStyle="1" w:styleId="abgheadd">
    <w:name w:val="abg_head_d"/>
    <w:basedOn w:val="a"/>
    <w:rsid w:val="005C1F4C"/>
    <w:pPr>
      <w:spacing w:before="240" w:after="120"/>
      <w:outlineLvl w:val="3"/>
    </w:pPr>
    <w:rPr>
      <w:rFonts w:ascii="Times New Roman" w:eastAsia="新細明體" w:hAnsi="Times New Roman" w:cs="Times New Roman"/>
      <w:color w:val="0000FF"/>
      <w:kern w:val="0"/>
      <w:sz w:val="28"/>
      <w:szCs w:val="20"/>
      <w:lang w:val="en-GB" w:eastAsia="en-US"/>
    </w:rPr>
  </w:style>
  <w:style w:type="paragraph" w:styleId="a5">
    <w:name w:val="header"/>
    <w:basedOn w:val="a"/>
    <w:link w:val="a6"/>
    <w:uiPriority w:val="99"/>
    <w:unhideWhenUsed/>
    <w:rsid w:val="005C1F4C"/>
    <w:pPr>
      <w:tabs>
        <w:tab w:val="center" w:pos="4153"/>
        <w:tab w:val="right" w:pos="8306"/>
      </w:tabs>
      <w:snapToGrid w:val="0"/>
    </w:pPr>
    <w:rPr>
      <w:sz w:val="20"/>
      <w:szCs w:val="20"/>
    </w:rPr>
  </w:style>
  <w:style w:type="character" w:customStyle="1" w:styleId="a6">
    <w:name w:val="頁首 字元"/>
    <w:basedOn w:val="a0"/>
    <w:link w:val="a5"/>
    <w:uiPriority w:val="99"/>
    <w:rsid w:val="005C1F4C"/>
    <w:rPr>
      <w:sz w:val="20"/>
      <w:szCs w:val="20"/>
    </w:rPr>
  </w:style>
  <w:style w:type="paragraph" w:styleId="a7">
    <w:name w:val="footer"/>
    <w:basedOn w:val="a"/>
    <w:link w:val="a8"/>
    <w:uiPriority w:val="99"/>
    <w:unhideWhenUsed/>
    <w:rsid w:val="005C1F4C"/>
    <w:pPr>
      <w:tabs>
        <w:tab w:val="center" w:pos="4153"/>
        <w:tab w:val="right" w:pos="8306"/>
      </w:tabs>
      <w:snapToGrid w:val="0"/>
    </w:pPr>
    <w:rPr>
      <w:sz w:val="20"/>
      <w:szCs w:val="20"/>
    </w:rPr>
  </w:style>
  <w:style w:type="character" w:customStyle="1" w:styleId="a8">
    <w:name w:val="頁尾 字元"/>
    <w:basedOn w:val="a0"/>
    <w:link w:val="a7"/>
    <w:uiPriority w:val="99"/>
    <w:rsid w:val="005C1F4C"/>
    <w:rPr>
      <w:sz w:val="20"/>
      <w:szCs w:val="20"/>
    </w:rPr>
  </w:style>
  <w:style w:type="paragraph" w:styleId="Web">
    <w:name w:val="Normal (Web)"/>
    <w:basedOn w:val="a"/>
    <w:uiPriority w:val="99"/>
    <w:semiHidden/>
    <w:unhideWhenUsed/>
    <w:rsid w:val="006F235F"/>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6B0B76"/>
    <w:rPr>
      <w:rFonts w:ascii="Cambria" w:eastAsia="新細明體" w:hAnsi="Cambria" w:cs="Times New Roman"/>
      <w:b/>
      <w:bCs/>
      <w:sz w:val="48"/>
      <w:szCs w:val="48"/>
    </w:rPr>
  </w:style>
  <w:style w:type="paragraph" w:styleId="a9">
    <w:name w:val="footnote text"/>
    <w:basedOn w:val="a"/>
    <w:link w:val="aa"/>
    <w:uiPriority w:val="99"/>
    <w:semiHidden/>
    <w:unhideWhenUsed/>
    <w:rsid w:val="006B0B76"/>
    <w:pPr>
      <w:snapToGrid w:val="0"/>
    </w:pPr>
    <w:rPr>
      <w:sz w:val="20"/>
      <w:szCs w:val="20"/>
    </w:rPr>
  </w:style>
  <w:style w:type="character" w:customStyle="1" w:styleId="aa">
    <w:name w:val="註腳文字 字元"/>
    <w:basedOn w:val="a0"/>
    <w:link w:val="a9"/>
    <w:uiPriority w:val="99"/>
    <w:semiHidden/>
    <w:rsid w:val="006B0B76"/>
    <w:rPr>
      <w:sz w:val="20"/>
      <w:szCs w:val="20"/>
    </w:rPr>
  </w:style>
  <w:style w:type="paragraph" w:styleId="ab">
    <w:name w:val="annotation text"/>
    <w:basedOn w:val="a"/>
    <w:link w:val="ac"/>
    <w:uiPriority w:val="99"/>
    <w:semiHidden/>
    <w:unhideWhenUsed/>
    <w:rsid w:val="006B0B76"/>
  </w:style>
  <w:style w:type="character" w:customStyle="1" w:styleId="ac">
    <w:name w:val="註解文字 字元"/>
    <w:basedOn w:val="a0"/>
    <w:link w:val="ab"/>
    <w:uiPriority w:val="99"/>
    <w:semiHidden/>
    <w:rsid w:val="006B0B76"/>
  </w:style>
  <w:style w:type="paragraph" w:styleId="ad">
    <w:name w:val="endnote text"/>
    <w:basedOn w:val="a"/>
    <w:link w:val="ae"/>
    <w:uiPriority w:val="99"/>
    <w:semiHidden/>
    <w:unhideWhenUsed/>
    <w:rsid w:val="006B0B76"/>
    <w:pPr>
      <w:snapToGrid w:val="0"/>
    </w:pPr>
  </w:style>
  <w:style w:type="character" w:customStyle="1" w:styleId="ae">
    <w:name w:val="章節附註文字 字元"/>
    <w:basedOn w:val="a0"/>
    <w:link w:val="ad"/>
    <w:uiPriority w:val="99"/>
    <w:semiHidden/>
    <w:rsid w:val="006B0B76"/>
  </w:style>
  <w:style w:type="paragraph" w:styleId="af">
    <w:name w:val="Closing"/>
    <w:basedOn w:val="a"/>
    <w:link w:val="af0"/>
    <w:uiPriority w:val="99"/>
    <w:unhideWhenUsed/>
    <w:rsid w:val="006B0B76"/>
    <w:pPr>
      <w:ind w:leftChars="1800" w:left="100"/>
    </w:pPr>
    <w:rPr>
      <w:rFonts w:eastAsia="標楷體" w:cs="Calibri"/>
      <w:kern w:val="0"/>
      <w:sz w:val="22"/>
      <w:lang w:val="en-GB"/>
    </w:rPr>
  </w:style>
  <w:style w:type="character" w:customStyle="1" w:styleId="af0">
    <w:name w:val="結語 字元"/>
    <w:basedOn w:val="a0"/>
    <w:link w:val="af"/>
    <w:uiPriority w:val="99"/>
    <w:rsid w:val="006B0B76"/>
    <w:rPr>
      <w:rFonts w:eastAsia="標楷體" w:cs="Calibri"/>
      <w:kern w:val="0"/>
      <w:sz w:val="22"/>
      <w:lang w:val="en-GB"/>
    </w:rPr>
  </w:style>
  <w:style w:type="paragraph" w:styleId="af1">
    <w:name w:val="Salutation"/>
    <w:basedOn w:val="a"/>
    <w:next w:val="a"/>
    <w:link w:val="af2"/>
    <w:uiPriority w:val="99"/>
    <w:semiHidden/>
    <w:unhideWhenUsed/>
    <w:rsid w:val="006B0B76"/>
    <w:rPr>
      <w:rFonts w:eastAsia="標楷體" w:cs="Calibri"/>
      <w:kern w:val="0"/>
      <w:sz w:val="22"/>
      <w:lang w:val="en-GB"/>
    </w:rPr>
  </w:style>
  <w:style w:type="character" w:customStyle="1" w:styleId="af2">
    <w:name w:val="問候 字元"/>
    <w:basedOn w:val="a0"/>
    <w:link w:val="af1"/>
    <w:uiPriority w:val="99"/>
    <w:semiHidden/>
    <w:rsid w:val="006B0B76"/>
    <w:rPr>
      <w:rFonts w:eastAsia="標楷體" w:cs="Calibri"/>
      <w:kern w:val="0"/>
      <w:sz w:val="22"/>
      <w:lang w:val="en-GB"/>
    </w:rPr>
  </w:style>
  <w:style w:type="paragraph" w:styleId="af3">
    <w:name w:val="Date"/>
    <w:basedOn w:val="a"/>
    <w:next w:val="a"/>
    <w:link w:val="af4"/>
    <w:uiPriority w:val="99"/>
    <w:semiHidden/>
    <w:unhideWhenUsed/>
    <w:rsid w:val="006B0B76"/>
    <w:pPr>
      <w:jc w:val="right"/>
    </w:pPr>
  </w:style>
  <w:style w:type="character" w:customStyle="1" w:styleId="af4">
    <w:name w:val="日期 字元"/>
    <w:basedOn w:val="a0"/>
    <w:link w:val="af3"/>
    <w:uiPriority w:val="99"/>
    <w:semiHidden/>
    <w:rsid w:val="006B0B76"/>
  </w:style>
  <w:style w:type="paragraph" w:styleId="af5">
    <w:name w:val="Document Map"/>
    <w:basedOn w:val="a"/>
    <w:link w:val="af6"/>
    <w:uiPriority w:val="99"/>
    <w:semiHidden/>
    <w:unhideWhenUsed/>
    <w:rsid w:val="006B0B76"/>
    <w:rPr>
      <w:rFonts w:ascii="新細明體" w:eastAsia="新細明體"/>
      <w:sz w:val="18"/>
      <w:szCs w:val="18"/>
    </w:rPr>
  </w:style>
  <w:style w:type="character" w:customStyle="1" w:styleId="af6">
    <w:name w:val="文件引導模式 字元"/>
    <w:basedOn w:val="a0"/>
    <w:link w:val="af5"/>
    <w:uiPriority w:val="99"/>
    <w:semiHidden/>
    <w:rsid w:val="006B0B76"/>
    <w:rPr>
      <w:rFonts w:ascii="新細明體" w:eastAsia="新細明體"/>
      <w:sz w:val="18"/>
      <w:szCs w:val="18"/>
    </w:rPr>
  </w:style>
  <w:style w:type="paragraph" w:styleId="af7">
    <w:name w:val="annotation subject"/>
    <w:basedOn w:val="ab"/>
    <w:next w:val="ab"/>
    <w:link w:val="af8"/>
    <w:uiPriority w:val="99"/>
    <w:semiHidden/>
    <w:unhideWhenUsed/>
    <w:rsid w:val="006B0B76"/>
    <w:rPr>
      <w:b/>
      <w:bCs/>
    </w:rPr>
  </w:style>
  <w:style w:type="character" w:customStyle="1" w:styleId="af8">
    <w:name w:val="註解主旨 字元"/>
    <w:basedOn w:val="ac"/>
    <w:link w:val="af7"/>
    <w:uiPriority w:val="99"/>
    <w:semiHidden/>
    <w:rsid w:val="006B0B76"/>
    <w:rPr>
      <w:b/>
      <w:bCs/>
    </w:rPr>
  </w:style>
  <w:style w:type="paragraph" w:styleId="af9">
    <w:name w:val="Balloon Text"/>
    <w:basedOn w:val="a"/>
    <w:link w:val="afa"/>
    <w:uiPriority w:val="99"/>
    <w:semiHidden/>
    <w:unhideWhenUsed/>
    <w:rsid w:val="006B0B76"/>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6B0B76"/>
    <w:rPr>
      <w:rFonts w:asciiTheme="majorHAnsi" w:eastAsiaTheme="majorEastAsia" w:hAnsiTheme="majorHAnsi" w:cstheme="majorBidi"/>
      <w:sz w:val="18"/>
      <w:szCs w:val="18"/>
    </w:rPr>
  </w:style>
  <w:style w:type="paragraph" w:customStyle="1" w:styleId="I">
    <w:name w:val="I章名"/>
    <w:basedOn w:val="a"/>
    <w:uiPriority w:val="99"/>
    <w:qFormat/>
    <w:rsid w:val="006B0B76"/>
    <w:pPr>
      <w:widowControl/>
      <w:tabs>
        <w:tab w:val="left" w:pos="9026"/>
      </w:tabs>
      <w:autoSpaceDE w:val="0"/>
      <w:autoSpaceDN w:val="0"/>
      <w:spacing w:before="100" w:beforeAutospacing="1" w:after="100" w:afterAutospacing="1"/>
    </w:pPr>
    <w:rPr>
      <w:rFonts w:ascii="Calibri" w:eastAsia="標楷體" w:hAnsi="Calibri" w:cs="Arial"/>
      <w:b/>
      <w:color w:val="0000FF"/>
      <w:kern w:val="0"/>
      <w:sz w:val="48"/>
      <w:szCs w:val="48"/>
      <w:lang w:eastAsia="en-US" w:bidi="en-US"/>
    </w:rPr>
  </w:style>
  <w:style w:type="character" w:customStyle="1" w:styleId="abgheadaChar">
    <w:name w:val="abg_head_a Char"/>
    <w:link w:val="abgheada"/>
    <w:locked/>
    <w:rsid w:val="006B0B76"/>
    <w:rPr>
      <w:rFonts w:ascii="Times New Roman" w:eastAsia="新細明體" w:hAnsi="Times New Roman" w:cs="Times New Roman"/>
      <w:b/>
      <w:color w:val="0000FF"/>
      <w:kern w:val="0"/>
      <w:sz w:val="36"/>
      <w:szCs w:val="20"/>
      <w:lang w:val="en-GB" w:eastAsia="en-US"/>
    </w:rPr>
  </w:style>
  <w:style w:type="paragraph" w:customStyle="1" w:styleId="abgheada">
    <w:name w:val="abg_head_a"/>
    <w:basedOn w:val="a"/>
    <w:link w:val="abgheadaChar"/>
    <w:rsid w:val="006B0B76"/>
    <w:pPr>
      <w:spacing w:before="480" w:after="120"/>
      <w:outlineLvl w:val="1"/>
    </w:pPr>
    <w:rPr>
      <w:rFonts w:ascii="Times New Roman" w:eastAsia="新細明體" w:hAnsi="Times New Roman" w:cs="Times New Roman"/>
      <w:b/>
      <w:color w:val="0000FF"/>
      <w:kern w:val="0"/>
      <w:sz w:val="36"/>
      <w:szCs w:val="20"/>
      <w:lang w:val="en-GB" w:eastAsia="en-US"/>
    </w:rPr>
  </w:style>
  <w:style w:type="paragraph" w:customStyle="1" w:styleId="textm">
    <w:name w:val="text_m"/>
    <w:basedOn w:val="a"/>
    <w:uiPriority w:val="99"/>
    <w:rsid w:val="006B0B76"/>
    <w:pPr>
      <w:widowControl/>
      <w:spacing w:before="100" w:beforeAutospacing="1" w:after="100" w:afterAutospacing="1" w:line="432" w:lineRule="atLeast"/>
    </w:pPr>
    <w:rPr>
      <w:rFonts w:ascii="新細明體" w:eastAsia="新細明體" w:hAnsi="新細明體" w:cs="新細明體"/>
      <w:color w:val="666666"/>
      <w:kern w:val="0"/>
      <w:sz w:val="18"/>
      <w:szCs w:val="18"/>
    </w:rPr>
  </w:style>
  <w:style w:type="paragraph" w:customStyle="1" w:styleId="I2">
    <w:name w:val="I項目第2層(無編號)"/>
    <w:basedOn w:val="a"/>
    <w:uiPriority w:val="99"/>
    <w:rsid w:val="006B0B76"/>
    <w:pPr>
      <w:numPr>
        <w:ilvl w:val="1"/>
        <w:numId w:val="1"/>
      </w:numPr>
      <w:spacing w:before="100" w:beforeAutospacing="1" w:after="100" w:afterAutospacing="1" w:line="240" w:lineRule="atLeast"/>
      <w:jc w:val="both"/>
    </w:pPr>
    <w:rPr>
      <w:rFonts w:ascii="Calibri" w:eastAsia="標楷體" w:hAnsi="Calibri" w:cs="Times New Roman"/>
      <w:kern w:val="0"/>
      <w:sz w:val="22"/>
      <w:lang w:val="en-GB" w:bidi="en-US"/>
    </w:rPr>
  </w:style>
  <w:style w:type="paragraph" w:customStyle="1" w:styleId="I1">
    <w:name w:val="I項目第1層(無編號)"/>
    <w:basedOn w:val="a"/>
    <w:uiPriority w:val="99"/>
    <w:qFormat/>
    <w:rsid w:val="006B0B76"/>
    <w:pPr>
      <w:widowControl/>
      <w:numPr>
        <w:numId w:val="1"/>
      </w:numPr>
      <w:spacing w:before="100" w:beforeAutospacing="1" w:after="100" w:afterAutospacing="1" w:line="240" w:lineRule="atLeast"/>
      <w:jc w:val="both"/>
    </w:pPr>
    <w:rPr>
      <w:rFonts w:ascii="Calibri" w:eastAsia="標楷體" w:hAnsi="標楷體" w:cs="Times New Roman"/>
      <w:kern w:val="0"/>
      <w:sz w:val="22"/>
      <w:lang w:eastAsia="en-US" w:bidi="en-US"/>
    </w:rPr>
  </w:style>
  <w:style w:type="paragraph" w:customStyle="1" w:styleId="I111">
    <w:name w:val="I標題1.1.1"/>
    <w:basedOn w:val="a"/>
    <w:uiPriority w:val="99"/>
    <w:qFormat/>
    <w:rsid w:val="006B0B76"/>
    <w:pPr>
      <w:widowControl/>
      <w:spacing w:before="100" w:beforeAutospacing="1" w:after="100" w:afterAutospacing="1"/>
      <w:jc w:val="both"/>
    </w:pPr>
    <w:rPr>
      <w:rFonts w:ascii="Calibri" w:eastAsia="標楷體" w:hAnsi="Calibri" w:cs="Arial"/>
      <w:b/>
      <w:i/>
      <w:color w:val="0000FF"/>
      <w:kern w:val="0"/>
      <w:sz w:val="26"/>
      <w:szCs w:val="26"/>
      <w:lang w:eastAsia="en-US" w:bidi="en-US"/>
    </w:rPr>
  </w:style>
  <w:style w:type="character" w:customStyle="1" w:styleId="abgguidancetextChar">
    <w:name w:val="abg_guidance_text Char"/>
    <w:basedOn w:val="a0"/>
    <w:link w:val="abgguidancetext"/>
    <w:locked/>
    <w:rsid w:val="006B0B76"/>
    <w:rPr>
      <w:rFonts w:ascii="Times New Roman" w:eastAsia="新細明體" w:hAnsi="Times New Roman" w:cs="Times New Roman"/>
      <w:kern w:val="0"/>
      <w:sz w:val="22"/>
      <w:szCs w:val="20"/>
      <w:shd w:val="clear" w:color="auto" w:fill="B3B3B3"/>
      <w:lang w:val="en-GB" w:eastAsia="en-US"/>
    </w:rPr>
  </w:style>
  <w:style w:type="paragraph" w:customStyle="1" w:styleId="abgguidancetext">
    <w:name w:val="abg_guidance_text"/>
    <w:basedOn w:val="a"/>
    <w:link w:val="abgguidancetextChar"/>
    <w:rsid w:val="006B0B76"/>
    <w:pPr>
      <w:shd w:val="clear" w:color="auto" w:fill="B3B3B3"/>
      <w:tabs>
        <w:tab w:val="left" w:pos="567"/>
        <w:tab w:val="left" w:pos="1134"/>
        <w:tab w:val="left" w:pos="1701"/>
      </w:tabs>
      <w:spacing w:before="60" w:after="120"/>
    </w:pPr>
    <w:rPr>
      <w:rFonts w:ascii="Times New Roman" w:eastAsia="新細明體" w:hAnsi="Times New Roman" w:cs="Times New Roman"/>
      <w:kern w:val="0"/>
      <w:sz w:val="22"/>
      <w:szCs w:val="20"/>
      <w:lang w:val="en-GB" w:eastAsia="en-US"/>
    </w:rPr>
  </w:style>
  <w:style w:type="character" w:customStyle="1" w:styleId="abgbodytextChar">
    <w:name w:val="abg_body_text Char"/>
    <w:basedOn w:val="a0"/>
    <w:link w:val="abgbodytext"/>
    <w:uiPriority w:val="99"/>
    <w:locked/>
    <w:rsid w:val="006B0B76"/>
    <w:rPr>
      <w:rFonts w:ascii="Times New Roman" w:eastAsia="新細明體" w:hAnsi="Times New Roman" w:cs="Times New Roman"/>
      <w:kern w:val="0"/>
      <w:sz w:val="22"/>
      <w:szCs w:val="20"/>
      <w:lang w:val="en-GB" w:eastAsia="en-US"/>
    </w:rPr>
  </w:style>
  <w:style w:type="paragraph" w:customStyle="1" w:styleId="abgbodytext">
    <w:name w:val="abg_body_text"/>
    <w:basedOn w:val="a"/>
    <w:link w:val="abgbodytextChar"/>
    <w:uiPriority w:val="99"/>
    <w:rsid w:val="006B0B76"/>
    <w:pPr>
      <w:spacing w:before="60" w:after="120"/>
    </w:pPr>
    <w:rPr>
      <w:rFonts w:ascii="Times New Roman" w:eastAsia="新細明體" w:hAnsi="Times New Roman" w:cs="Times New Roman"/>
      <w:kern w:val="0"/>
      <w:sz w:val="22"/>
      <w:szCs w:val="20"/>
      <w:lang w:val="en-GB" w:eastAsia="en-US"/>
    </w:rPr>
  </w:style>
  <w:style w:type="character" w:customStyle="1" w:styleId="abgguidanceexampleChar">
    <w:name w:val="abg_guidance_example Char"/>
    <w:basedOn w:val="abgguidancetextChar"/>
    <w:link w:val="abgguidanceexample"/>
    <w:locked/>
    <w:rsid w:val="006B0B76"/>
    <w:rPr>
      <w:rFonts w:ascii="Times New Roman" w:eastAsia="新細明體" w:hAnsi="Times New Roman" w:cs="Times New Roman"/>
      <w:kern w:val="0"/>
      <w:sz w:val="22"/>
      <w:szCs w:val="20"/>
      <w:shd w:val="clear" w:color="auto" w:fill="99CCFF"/>
      <w:lang w:val="en-GB" w:eastAsia="en-US"/>
    </w:rPr>
  </w:style>
  <w:style w:type="paragraph" w:customStyle="1" w:styleId="abgguidanceexample">
    <w:name w:val="abg_guidance_example"/>
    <w:basedOn w:val="abgguidancetext"/>
    <w:link w:val="abgguidanceexampleChar"/>
    <w:rsid w:val="006B0B76"/>
    <w:pPr>
      <w:shd w:val="clear" w:color="auto" w:fill="99CCFF"/>
    </w:pPr>
  </w:style>
  <w:style w:type="paragraph" w:customStyle="1" w:styleId="abgbulletedlist2">
    <w:name w:val="abg_bulleted_list2"/>
    <w:basedOn w:val="a"/>
    <w:uiPriority w:val="99"/>
    <w:rsid w:val="006B0B76"/>
    <w:pPr>
      <w:numPr>
        <w:numId w:val="2"/>
      </w:numPr>
      <w:tabs>
        <w:tab w:val="left" w:pos="1134"/>
        <w:tab w:val="left" w:pos="1701"/>
      </w:tabs>
      <w:spacing w:before="60" w:after="120"/>
      <w:ind w:left="1701"/>
    </w:pPr>
    <w:rPr>
      <w:rFonts w:ascii="Times New Roman" w:eastAsia="新細明體" w:hAnsi="Times New Roman" w:cs="Times New Roman"/>
      <w:kern w:val="0"/>
      <w:sz w:val="22"/>
      <w:szCs w:val="20"/>
      <w:lang w:val="en-GB" w:eastAsia="en-US"/>
    </w:rPr>
  </w:style>
  <w:style w:type="paragraph" w:customStyle="1" w:styleId="Default">
    <w:name w:val="Default"/>
    <w:uiPriority w:val="99"/>
    <w:rsid w:val="006B0B76"/>
    <w:pPr>
      <w:widowControl w:val="0"/>
      <w:autoSpaceDE w:val="0"/>
      <w:autoSpaceDN w:val="0"/>
      <w:adjustRightInd w:val="0"/>
    </w:pPr>
    <w:rPr>
      <w:rFonts w:ascii="標楷體" w:eastAsia="標楷體" w:hAnsi="Times New Roman" w:cs="標楷體"/>
      <w:color w:val="000000"/>
      <w:kern w:val="0"/>
      <w:szCs w:val="24"/>
    </w:rPr>
  </w:style>
  <w:style w:type="paragraph" w:customStyle="1" w:styleId="I11">
    <w:name w:val="I標題1.1"/>
    <w:basedOn w:val="a"/>
    <w:uiPriority w:val="99"/>
    <w:qFormat/>
    <w:rsid w:val="006B0B76"/>
    <w:pPr>
      <w:widowControl/>
      <w:tabs>
        <w:tab w:val="left" w:pos="9026"/>
      </w:tabs>
      <w:autoSpaceDE w:val="0"/>
      <w:autoSpaceDN w:val="0"/>
      <w:spacing w:before="100" w:beforeAutospacing="1" w:after="100" w:afterAutospacing="1"/>
      <w:jc w:val="both"/>
    </w:pPr>
    <w:rPr>
      <w:rFonts w:ascii="Calibri" w:eastAsia="標楷體" w:hAnsi="Calibri" w:cs="Arial"/>
      <w:b/>
      <w:color w:val="0000FF"/>
      <w:kern w:val="0"/>
      <w:sz w:val="28"/>
      <w:szCs w:val="28"/>
      <w:lang w:eastAsia="en-US" w:bidi="en-US"/>
    </w:rPr>
  </w:style>
  <w:style w:type="character" w:styleId="afb">
    <w:name w:val="footnote reference"/>
    <w:basedOn w:val="a0"/>
    <w:uiPriority w:val="99"/>
    <w:semiHidden/>
    <w:unhideWhenUsed/>
    <w:rsid w:val="006B0B76"/>
    <w:rPr>
      <w:vertAlign w:val="superscript"/>
    </w:rPr>
  </w:style>
  <w:style w:type="character" w:styleId="afc">
    <w:name w:val="annotation reference"/>
    <w:basedOn w:val="a0"/>
    <w:uiPriority w:val="99"/>
    <w:semiHidden/>
    <w:unhideWhenUsed/>
    <w:rsid w:val="006B0B76"/>
    <w:rPr>
      <w:sz w:val="18"/>
      <w:szCs w:val="18"/>
    </w:rPr>
  </w:style>
  <w:style w:type="character" w:styleId="afd">
    <w:name w:val="endnote reference"/>
    <w:basedOn w:val="a0"/>
    <w:uiPriority w:val="99"/>
    <w:semiHidden/>
    <w:unhideWhenUsed/>
    <w:rsid w:val="006B0B76"/>
    <w:rPr>
      <w:vertAlign w:val="superscript"/>
    </w:rPr>
  </w:style>
  <w:style w:type="table" w:styleId="-5">
    <w:name w:val="Light Shading Accent 5"/>
    <w:basedOn w:val="a1"/>
    <w:uiPriority w:val="60"/>
    <w:rsid w:val="0066766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66766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e">
    <w:name w:val="Hyperlink"/>
    <w:basedOn w:val="a0"/>
    <w:uiPriority w:val="99"/>
    <w:semiHidden/>
    <w:unhideWhenUsed/>
    <w:rsid w:val="00C9369D"/>
    <w:rPr>
      <w:color w:val="0000FF"/>
      <w:u w:val="single"/>
    </w:rPr>
  </w:style>
  <w:style w:type="character" w:customStyle="1" w:styleId="10">
    <w:name w:val="標題 1 字元"/>
    <w:basedOn w:val="a0"/>
    <w:link w:val="1"/>
    <w:uiPriority w:val="9"/>
    <w:rsid w:val="00641CCA"/>
    <w:rPr>
      <w:rFonts w:asciiTheme="majorHAnsi" w:eastAsiaTheme="majorEastAsia" w:hAnsiTheme="majorHAnsi" w:cstheme="majorBidi"/>
      <w:b/>
      <w:bCs/>
      <w:kern w:val="52"/>
      <w:sz w:val="52"/>
      <w:szCs w:val="52"/>
    </w:rPr>
  </w:style>
  <w:style w:type="paragraph" w:styleId="aff">
    <w:name w:val="Note Heading"/>
    <w:basedOn w:val="a"/>
    <w:next w:val="a"/>
    <w:link w:val="aff0"/>
    <w:uiPriority w:val="99"/>
    <w:unhideWhenUsed/>
    <w:rsid w:val="00641CCA"/>
    <w:pPr>
      <w:jc w:val="center"/>
    </w:pPr>
    <w:rPr>
      <w:rFonts w:eastAsia="標楷體" w:hAnsi="標楷體" w:cs="TTB7CF9C5CtCID-WinCharSetFFFF-H"/>
      <w:color w:val="000000"/>
      <w:kern w:val="0"/>
      <w:sz w:val="22"/>
    </w:rPr>
  </w:style>
  <w:style w:type="character" w:customStyle="1" w:styleId="aff0">
    <w:name w:val="註釋標題 字元"/>
    <w:basedOn w:val="a0"/>
    <w:link w:val="aff"/>
    <w:uiPriority w:val="99"/>
    <w:rsid w:val="00641CCA"/>
    <w:rPr>
      <w:rFonts w:eastAsia="標楷體" w:hAnsi="標楷體" w:cs="TTB7CF9C5CtCID-WinCharSetFFFF-H"/>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E2"/>
    <w:pPr>
      <w:widowControl w:val="0"/>
    </w:pPr>
  </w:style>
  <w:style w:type="paragraph" w:styleId="1">
    <w:name w:val="heading 1"/>
    <w:basedOn w:val="a"/>
    <w:next w:val="a"/>
    <w:link w:val="10"/>
    <w:uiPriority w:val="9"/>
    <w:qFormat/>
    <w:rsid w:val="00641CC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6B0B76"/>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442F"/>
    <w:pPr>
      <w:ind w:leftChars="200" w:left="480"/>
    </w:pPr>
  </w:style>
  <w:style w:type="paragraph" w:customStyle="1" w:styleId="abgheadb">
    <w:name w:val="abg_head_b"/>
    <w:basedOn w:val="a"/>
    <w:link w:val="abgheadbChar"/>
    <w:rsid w:val="005C1F4C"/>
    <w:pPr>
      <w:spacing w:before="240" w:after="120"/>
      <w:outlineLvl w:val="2"/>
    </w:pPr>
    <w:rPr>
      <w:rFonts w:ascii="Times New Roman" w:eastAsia="新細明體" w:hAnsi="Times New Roman" w:cs="Times New Roman"/>
      <w:b/>
      <w:color w:val="0000FF"/>
      <w:kern w:val="0"/>
      <w:sz w:val="32"/>
      <w:szCs w:val="20"/>
      <w:lang w:val="en-GB" w:eastAsia="en-US"/>
    </w:rPr>
  </w:style>
  <w:style w:type="character" w:customStyle="1" w:styleId="abgheadbChar">
    <w:name w:val="abg_head_b Char"/>
    <w:link w:val="abgheadb"/>
    <w:rsid w:val="005C1F4C"/>
    <w:rPr>
      <w:rFonts w:ascii="Times New Roman" w:eastAsia="新細明體" w:hAnsi="Times New Roman" w:cs="Times New Roman"/>
      <w:b/>
      <w:color w:val="0000FF"/>
      <w:kern w:val="0"/>
      <w:sz w:val="32"/>
      <w:szCs w:val="20"/>
      <w:lang w:val="en-GB" w:eastAsia="en-US"/>
    </w:rPr>
  </w:style>
  <w:style w:type="paragraph" w:customStyle="1" w:styleId="112">
    <w:name w:val="1.1.2"/>
    <w:basedOn w:val="a"/>
    <w:uiPriority w:val="99"/>
    <w:qFormat/>
    <w:rsid w:val="005C1F4C"/>
    <w:pPr>
      <w:spacing w:before="100" w:beforeAutospacing="1" w:after="100" w:afterAutospacing="1"/>
      <w:jc w:val="both"/>
      <w:outlineLvl w:val="3"/>
    </w:pPr>
    <w:rPr>
      <w:rFonts w:ascii="Calibri" w:eastAsia="標楷體" w:hAnsi="Calibri" w:cs="Calibri"/>
      <w:b/>
      <w:i/>
      <w:color w:val="0000FF"/>
      <w:kern w:val="0"/>
      <w:sz w:val="26"/>
      <w:szCs w:val="26"/>
      <w:lang w:val="en-GB"/>
    </w:rPr>
  </w:style>
  <w:style w:type="paragraph" w:customStyle="1" w:styleId="abgheadd">
    <w:name w:val="abg_head_d"/>
    <w:basedOn w:val="a"/>
    <w:rsid w:val="005C1F4C"/>
    <w:pPr>
      <w:spacing w:before="240" w:after="120"/>
      <w:outlineLvl w:val="3"/>
    </w:pPr>
    <w:rPr>
      <w:rFonts w:ascii="Times New Roman" w:eastAsia="新細明體" w:hAnsi="Times New Roman" w:cs="Times New Roman"/>
      <w:color w:val="0000FF"/>
      <w:kern w:val="0"/>
      <w:sz w:val="28"/>
      <w:szCs w:val="20"/>
      <w:lang w:val="en-GB" w:eastAsia="en-US"/>
    </w:rPr>
  </w:style>
  <w:style w:type="paragraph" w:styleId="a5">
    <w:name w:val="header"/>
    <w:basedOn w:val="a"/>
    <w:link w:val="a6"/>
    <w:uiPriority w:val="99"/>
    <w:unhideWhenUsed/>
    <w:rsid w:val="005C1F4C"/>
    <w:pPr>
      <w:tabs>
        <w:tab w:val="center" w:pos="4153"/>
        <w:tab w:val="right" w:pos="8306"/>
      </w:tabs>
      <w:snapToGrid w:val="0"/>
    </w:pPr>
    <w:rPr>
      <w:sz w:val="20"/>
      <w:szCs w:val="20"/>
    </w:rPr>
  </w:style>
  <w:style w:type="character" w:customStyle="1" w:styleId="a6">
    <w:name w:val="頁首 字元"/>
    <w:basedOn w:val="a0"/>
    <w:link w:val="a5"/>
    <w:uiPriority w:val="99"/>
    <w:rsid w:val="005C1F4C"/>
    <w:rPr>
      <w:sz w:val="20"/>
      <w:szCs w:val="20"/>
    </w:rPr>
  </w:style>
  <w:style w:type="paragraph" w:styleId="a7">
    <w:name w:val="footer"/>
    <w:basedOn w:val="a"/>
    <w:link w:val="a8"/>
    <w:uiPriority w:val="99"/>
    <w:unhideWhenUsed/>
    <w:rsid w:val="005C1F4C"/>
    <w:pPr>
      <w:tabs>
        <w:tab w:val="center" w:pos="4153"/>
        <w:tab w:val="right" w:pos="8306"/>
      </w:tabs>
      <w:snapToGrid w:val="0"/>
    </w:pPr>
    <w:rPr>
      <w:sz w:val="20"/>
      <w:szCs w:val="20"/>
    </w:rPr>
  </w:style>
  <w:style w:type="character" w:customStyle="1" w:styleId="a8">
    <w:name w:val="頁尾 字元"/>
    <w:basedOn w:val="a0"/>
    <w:link w:val="a7"/>
    <w:uiPriority w:val="99"/>
    <w:rsid w:val="005C1F4C"/>
    <w:rPr>
      <w:sz w:val="20"/>
      <w:szCs w:val="20"/>
    </w:rPr>
  </w:style>
  <w:style w:type="paragraph" w:styleId="Web">
    <w:name w:val="Normal (Web)"/>
    <w:basedOn w:val="a"/>
    <w:uiPriority w:val="99"/>
    <w:semiHidden/>
    <w:unhideWhenUsed/>
    <w:rsid w:val="006F235F"/>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6B0B76"/>
    <w:rPr>
      <w:rFonts w:ascii="Cambria" w:eastAsia="新細明體" w:hAnsi="Cambria" w:cs="Times New Roman"/>
      <w:b/>
      <w:bCs/>
      <w:sz w:val="48"/>
      <w:szCs w:val="48"/>
    </w:rPr>
  </w:style>
  <w:style w:type="paragraph" w:styleId="a9">
    <w:name w:val="footnote text"/>
    <w:basedOn w:val="a"/>
    <w:link w:val="aa"/>
    <w:uiPriority w:val="99"/>
    <w:semiHidden/>
    <w:unhideWhenUsed/>
    <w:rsid w:val="006B0B76"/>
    <w:pPr>
      <w:snapToGrid w:val="0"/>
    </w:pPr>
    <w:rPr>
      <w:sz w:val="20"/>
      <w:szCs w:val="20"/>
    </w:rPr>
  </w:style>
  <w:style w:type="character" w:customStyle="1" w:styleId="aa">
    <w:name w:val="註腳文字 字元"/>
    <w:basedOn w:val="a0"/>
    <w:link w:val="a9"/>
    <w:uiPriority w:val="99"/>
    <w:semiHidden/>
    <w:rsid w:val="006B0B76"/>
    <w:rPr>
      <w:sz w:val="20"/>
      <w:szCs w:val="20"/>
    </w:rPr>
  </w:style>
  <w:style w:type="paragraph" w:styleId="ab">
    <w:name w:val="annotation text"/>
    <w:basedOn w:val="a"/>
    <w:link w:val="ac"/>
    <w:uiPriority w:val="99"/>
    <w:semiHidden/>
    <w:unhideWhenUsed/>
    <w:rsid w:val="006B0B76"/>
  </w:style>
  <w:style w:type="character" w:customStyle="1" w:styleId="ac">
    <w:name w:val="註解文字 字元"/>
    <w:basedOn w:val="a0"/>
    <w:link w:val="ab"/>
    <w:uiPriority w:val="99"/>
    <w:semiHidden/>
    <w:rsid w:val="006B0B76"/>
  </w:style>
  <w:style w:type="paragraph" w:styleId="ad">
    <w:name w:val="endnote text"/>
    <w:basedOn w:val="a"/>
    <w:link w:val="ae"/>
    <w:uiPriority w:val="99"/>
    <w:semiHidden/>
    <w:unhideWhenUsed/>
    <w:rsid w:val="006B0B76"/>
    <w:pPr>
      <w:snapToGrid w:val="0"/>
    </w:pPr>
  </w:style>
  <w:style w:type="character" w:customStyle="1" w:styleId="ae">
    <w:name w:val="章節附註文字 字元"/>
    <w:basedOn w:val="a0"/>
    <w:link w:val="ad"/>
    <w:uiPriority w:val="99"/>
    <w:semiHidden/>
    <w:rsid w:val="006B0B76"/>
  </w:style>
  <w:style w:type="paragraph" w:styleId="af">
    <w:name w:val="Closing"/>
    <w:basedOn w:val="a"/>
    <w:link w:val="af0"/>
    <w:uiPriority w:val="99"/>
    <w:unhideWhenUsed/>
    <w:rsid w:val="006B0B76"/>
    <w:pPr>
      <w:ind w:leftChars="1800" w:left="100"/>
    </w:pPr>
    <w:rPr>
      <w:rFonts w:eastAsia="標楷體" w:cs="Calibri"/>
      <w:kern w:val="0"/>
      <w:sz w:val="22"/>
      <w:lang w:val="en-GB"/>
    </w:rPr>
  </w:style>
  <w:style w:type="character" w:customStyle="1" w:styleId="af0">
    <w:name w:val="結語 字元"/>
    <w:basedOn w:val="a0"/>
    <w:link w:val="af"/>
    <w:uiPriority w:val="99"/>
    <w:rsid w:val="006B0B76"/>
    <w:rPr>
      <w:rFonts w:eastAsia="標楷體" w:cs="Calibri"/>
      <w:kern w:val="0"/>
      <w:sz w:val="22"/>
      <w:lang w:val="en-GB"/>
    </w:rPr>
  </w:style>
  <w:style w:type="paragraph" w:styleId="af1">
    <w:name w:val="Salutation"/>
    <w:basedOn w:val="a"/>
    <w:next w:val="a"/>
    <w:link w:val="af2"/>
    <w:uiPriority w:val="99"/>
    <w:semiHidden/>
    <w:unhideWhenUsed/>
    <w:rsid w:val="006B0B76"/>
    <w:rPr>
      <w:rFonts w:eastAsia="標楷體" w:cs="Calibri"/>
      <w:kern w:val="0"/>
      <w:sz w:val="22"/>
      <w:lang w:val="en-GB"/>
    </w:rPr>
  </w:style>
  <w:style w:type="character" w:customStyle="1" w:styleId="af2">
    <w:name w:val="問候 字元"/>
    <w:basedOn w:val="a0"/>
    <w:link w:val="af1"/>
    <w:uiPriority w:val="99"/>
    <w:semiHidden/>
    <w:rsid w:val="006B0B76"/>
    <w:rPr>
      <w:rFonts w:eastAsia="標楷體" w:cs="Calibri"/>
      <w:kern w:val="0"/>
      <w:sz w:val="22"/>
      <w:lang w:val="en-GB"/>
    </w:rPr>
  </w:style>
  <w:style w:type="paragraph" w:styleId="af3">
    <w:name w:val="Date"/>
    <w:basedOn w:val="a"/>
    <w:next w:val="a"/>
    <w:link w:val="af4"/>
    <w:uiPriority w:val="99"/>
    <w:semiHidden/>
    <w:unhideWhenUsed/>
    <w:rsid w:val="006B0B76"/>
    <w:pPr>
      <w:jc w:val="right"/>
    </w:pPr>
  </w:style>
  <w:style w:type="character" w:customStyle="1" w:styleId="af4">
    <w:name w:val="日期 字元"/>
    <w:basedOn w:val="a0"/>
    <w:link w:val="af3"/>
    <w:uiPriority w:val="99"/>
    <w:semiHidden/>
    <w:rsid w:val="006B0B76"/>
  </w:style>
  <w:style w:type="paragraph" w:styleId="af5">
    <w:name w:val="Document Map"/>
    <w:basedOn w:val="a"/>
    <w:link w:val="af6"/>
    <w:uiPriority w:val="99"/>
    <w:semiHidden/>
    <w:unhideWhenUsed/>
    <w:rsid w:val="006B0B76"/>
    <w:rPr>
      <w:rFonts w:ascii="新細明體" w:eastAsia="新細明體"/>
      <w:sz w:val="18"/>
      <w:szCs w:val="18"/>
    </w:rPr>
  </w:style>
  <w:style w:type="character" w:customStyle="1" w:styleId="af6">
    <w:name w:val="文件引導模式 字元"/>
    <w:basedOn w:val="a0"/>
    <w:link w:val="af5"/>
    <w:uiPriority w:val="99"/>
    <w:semiHidden/>
    <w:rsid w:val="006B0B76"/>
    <w:rPr>
      <w:rFonts w:ascii="新細明體" w:eastAsia="新細明體"/>
      <w:sz w:val="18"/>
      <w:szCs w:val="18"/>
    </w:rPr>
  </w:style>
  <w:style w:type="paragraph" w:styleId="af7">
    <w:name w:val="annotation subject"/>
    <w:basedOn w:val="ab"/>
    <w:next w:val="ab"/>
    <w:link w:val="af8"/>
    <w:uiPriority w:val="99"/>
    <w:semiHidden/>
    <w:unhideWhenUsed/>
    <w:rsid w:val="006B0B76"/>
    <w:rPr>
      <w:b/>
      <w:bCs/>
    </w:rPr>
  </w:style>
  <w:style w:type="character" w:customStyle="1" w:styleId="af8">
    <w:name w:val="註解主旨 字元"/>
    <w:basedOn w:val="ac"/>
    <w:link w:val="af7"/>
    <w:uiPriority w:val="99"/>
    <w:semiHidden/>
    <w:rsid w:val="006B0B76"/>
    <w:rPr>
      <w:b/>
      <w:bCs/>
    </w:rPr>
  </w:style>
  <w:style w:type="paragraph" w:styleId="af9">
    <w:name w:val="Balloon Text"/>
    <w:basedOn w:val="a"/>
    <w:link w:val="afa"/>
    <w:uiPriority w:val="99"/>
    <w:semiHidden/>
    <w:unhideWhenUsed/>
    <w:rsid w:val="006B0B76"/>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6B0B76"/>
    <w:rPr>
      <w:rFonts w:asciiTheme="majorHAnsi" w:eastAsiaTheme="majorEastAsia" w:hAnsiTheme="majorHAnsi" w:cstheme="majorBidi"/>
      <w:sz w:val="18"/>
      <w:szCs w:val="18"/>
    </w:rPr>
  </w:style>
  <w:style w:type="paragraph" w:customStyle="1" w:styleId="I">
    <w:name w:val="I章名"/>
    <w:basedOn w:val="a"/>
    <w:uiPriority w:val="99"/>
    <w:qFormat/>
    <w:rsid w:val="006B0B76"/>
    <w:pPr>
      <w:widowControl/>
      <w:tabs>
        <w:tab w:val="left" w:pos="9026"/>
      </w:tabs>
      <w:autoSpaceDE w:val="0"/>
      <w:autoSpaceDN w:val="0"/>
      <w:spacing w:before="100" w:beforeAutospacing="1" w:after="100" w:afterAutospacing="1"/>
    </w:pPr>
    <w:rPr>
      <w:rFonts w:ascii="Calibri" w:eastAsia="標楷體" w:hAnsi="Calibri" w:cs="Arial"/>
      <w:b/>
      <w:color w:val="0000FF"/>
      <w:kern w:val="0"/>
      <w:sz w:val="48"/>
      <w:szCs w:val="48"/>
      <w:lang w:eastAsia="en-US" w:bidi="en-US"/>
    </w:rPr>
  </w:style>
  <w:style w:type="character" w:customStyle="1" w:styleId="abgheadaChar">
    <w:name w:val="abg_head_a Char"/>
    <w:link w:val="abgheada"/>
    <w:locked/>
    <w:rsid w:val="006B0B76"/>
    <w:rPr>
      <w:rFonts w:ascii="Times New Roman" w:eastAsia="新細明體" w:hAnsi="Times New Roman" w:cs="Times New Roman"/>
      <w:b/>
      <w:color w:val="0000FF"/>
      <w:kern w:val="0"/>
      <w:sz w:val="36"/>
      <w:szCs w:val="20"/>
      <w:lang w:val="en-GB" w:eastAsia="en-US"/>
    </w:rPr>
  </w:style>
  <w:style w:type="paragraph" w:customStyle="1" w:styleId="abgheada">
    <w:name w:val="abg_head_a"/>
    <w:basedOn w:val="a"/>
    <w:link w:val="abgheadaChar"/>
    <w:rsid w:val="006B0B76"/>
    <w:pPr>
      <w:spacing w:before="480" w:after="120"/>
      <w:outlineLvl w:val="1"/>
    </w:pPr>
    <w:rPr>
      <w:rFonts w:ascii="Times New Roman" w:eastAsia="新細明體" w:hAnsi="Times New Roman" w:cs="Times New Roman"/>
      <w:b/>
      <w:color w:val="0000FF"/>
      <w:kern w:val="0"/>
      <w:sz w:val="36"/>
      <w:szCs w:val="20"/>
      <w:lang w:val="en-GB" w:eastAsia="en-US"/>
    </w:rPr>
  </w:style>
  <w:style w:type="paragraph" w:customStyle="1" w:styleId="textm">
    <w:name w:val="text_m"/>
    <w:basedOn w:val="a"/>
    <w:uiPriority w:val="99"/>
    <w:rsid w:val="006B0B76"/>
    <w:pPr>
      <w:widowControl/>
      <w:spacing w:before="100" w:beforeAutospacing="1" w:after="100" w:afterAutospacing="1" w:line="432" w:lineRule="atLeast"/>
    </w:pPr>
    <w:rPr>
      <w:rFonts w:ascii="新細明體" w:eastAsia="新細明體" w:hAnsi="新細明體" w:cs="新細明體"/>
      <w:color w:val="666666"/>
      <w:kern w:val="0"/>
      <w:sz w:val="18"/>
      <w:szCs w:val="18"/>
    </w:rPr>
  </w:style>
  <w:style w:type="paragraph" w:customStyle="1" w:styleId="I2">
    <w:name w:val="I項目第2層(無編號)"/>
    <w:basedOn w:val="a"/>
    <w:uiPriority w:val="99"/>
    <w:rsid w:val="006B0B76"/>
    <w:pPr>
      <w:numPr>
        <w:ilvl w:val="1"/>
        <w:numId w:val="1"/>
      </w:numPr>
      <w:spacing w:before="100" w:beforeAutospacing="1" w:after="100" w:afterAutospacing="1" w:line="240" w:lineRule="atLeast"/>
      <w:jc w:val="both"/>
    </w:pPr>
    <w:rPr>
      <w:rFonts w:ascii="Calibri" w:eastAsia="標楷體" w:hAnsi="Calibri" w:cs="Times New Roman"/>
      <w:kern w:val="0"/>
      <w:sz w:val="22"/>
      <w:lang w:val="en-GB" w:bidi="en-US"/>
    </w:rPr>
  </w:style>
  <w:style w:type="paragraph" w:customStyle="1" w:styleId="I1">
    <w:name w:val="I項目第1層(無編號)"/>
    <w:basedOn w:val="a"/>
    <w:uiPriority w:val="99"/>
    <w:qFormat/>
    <w:rsid w:val="006B0B76"/>
    <w:pPr>
      <w:widowControl/>
      <w:numPr>
        <w:numId w:val="1"/>
      </w:numPr>
      <w:spacing w:before="100" w:beforeAutospacing="1" w:after="100" w:afterAutospacing="1" w:line="240" w:lineRule="atLeast"/>
      <w:jc w:val="both"/>
    </w:pPr>
    <w:rPr>
      <w:rFonts w:ascii="Calibri" w:eastAsia="標楷體" w:hAnsi="標楷體" w:cs="Times New Roman"/>
      <w:kern w:val="0"/>
      <w:sz w:val="22"/>
      <w:lang w:eastAsia="en-US" w:bidi="en-US"/>
    </w:rPr>
  </w:style>
  <w:style w:type="paragraph" w:customStyle="1" w:styleId="I111">
    <w:name w:val="I標題1.1.1"/>
    <w:basedOn w:val="a"/>
    <w:uiPriority w:val="99"/>
    <w:qFormat/>
    <w:rsid w:val="006B0B76"/>
    <w:pPr>
      <w:widowControl/>
      <w:spacing w:before="100" w:beforeAutospacing="1" w:after="100" w:afterAutospacing="1"/>
      <w:jc w:val="both"/>
    </w:pPr>
    <w:rPr>
      <w:rFonts w:ascii="Calibri" w:eastAsia="標楷體" w:hAnsi="Calibri" w:cs="Arial"/>
      <w:b/>
      <w:i/>
      <w:color w:val="0000FF"/>
      <w:kern w:val="0"/>
      <w:sz w:val="26"/>
      <w:szCs w:val="26"/>
      <w:lang w:eastAsia="en-US" w:bidi="en-US"/>
    </w:rPr>
  </w:style>
  <w:style w:type="character" w:customStyle="1" w:styleId="abgguidancetextChar">
    <w:name w:val="abg_guidance_text Char"/>
    <w:basedOn w:val="a0"/>
    <w:link w:val="abgguidancetext"/>
    <w:locked/>
    <w:rsid w:val="006B0B76"/>
    <w:rPr>
      <w:rFonts w:ascii="Times New Roman" w:eastAsia="新細明體" w:hAnsi="Times New Roman" w:cs="Times New Roman"/>
      <w:kern w:val="0"/>
      <w:sz w:val="22"/>
      <w:szCs w:val="20"/>
      <w:shd w:val="clear" w:color="auto" w:fill="B3B3B3"/>
      <w:lang w:val="en-GB" w:eastAsia="en-US"/>
    </w:rPr>
  </w:style>
  <w:style w:type="paragraph" w:customStyle="1" w:styleId="abgguidancetext">
    <w:name w:val="abg_guidance_text"/>
    <w:basedOn w:val="a"/>
    <w:link w:val="abgguidancetextChar"/>
    <w:rsid w:val="006B0B76"/>
    <w:pPr>
      <w:shd w:val="clear" w:color="auto" w:fill="B3B3B3"/>
      <w:tabs>
        <w:tab w:val="left" w:pos="567"/>
        <w:tab w:val="left" w:pos="1134"/>
        <w:tab w:val="left" w:pos="1701"/>
      </w:tabs>
      <w:spacing w:before="60" w:after="120"/>
    </w:pPr>
    <w:rPr>
      <w:rFonts w:ascii="Times New Roman" w:eastAsia="新細明體" w:hAnsi="Times New Roman" w:cs="Times New Roman"/>
      <w:kern w:val="0"/>
      <w:sz w:val="22"/>
      <w:szCs w:val="20"/>
      <w:lang w:val="en-GB" w:eastAsia="en-US"/>
    </w:rPr>
  </w:style>
  <w:style w:type="character" w:customStyle="1" w:styleId="abgbodytextChar">
    <w:name w:val="abg_body_text Char"/>
    <w:basedOn w:val="a0"/>
    <w:link w:val="abgbodytext"/>
    <w:uiPriority w:val="99"/>
    <w:locked/>
    <w:rsid w:val="006B0B76"/>
    <w:rPr>
      <w:rFonts w:ascii="Times New Roman" w:eastAsia="新細明體" w:hAnsi="Times New Roman" w:cs="Times New Roman"/>
      <w:kern w:val="0"/>
      <w:sz w:val="22"/>
      <w:szCs w:val="20"/>
      <w:lang w:val="en-GB" w:eastAsia="en-US"/>
    </w:rPr>
  </w:style>
  <w:style w:type="paragraph" w:customStyle="1" w:styleId="abgbodytext">
    <w:name w:val="abg_body_text"/>
    <w:basedOn w:val="a"/>
    <w:link w:val="abgbodytextChar"/>
    <w:uiPriority w:val="99"/>
    <w:rsid w:val="006B0B76"/>
    <w:pPr>
      <w:spacing w:before="60" w:after="120"/>
    </w:pPr>
    <w:rPr>
      <w:rFonts w:ascii="Times New Roman" w:eastAsia="新細明體" w:hAnsi="Times New Roman" w:cs="Times New Roman"/>
      <w:kern w:val="0"/>
      <w:sz w:val="22"/>
      <w:szCs w:val="20"/>
      <w:lang w:val="en-GB" w:eastAsia="en-US"/>
    </w:rPr>
  </w:style>
  <w:style w:type="character" w:customStyle="1" w:styleId="abgguidanceexampleChar">
    <w:name w:val="abg_guidance_example Char"/>
    <w:basedOn w:val="abgguidancetextChar"/>
    <w:link w:val="abgguidanceexample"/>
    <w:locked/>
    <w:rsid w:val="006B0B76"/>
    <w:rPr>
      <w:rFonts w:ascii="Times New Roman" w:eastAsia="新細明體" w:hAnsi="Times New Roman" w:cs="Times New Roman"/>
      <w:kern w:val="0"/>
      <w:sz w:val="22"/>
      <w:szCs w:val="20"/>
      <w:shd w:val="clear" w:color="auto" w:fill="99CCFF"/>
      <w:lang w:val="en-GB" w:eastAsia="en-US"/>
    </w:rPr>
  </w:style>
  <w:style w:type="paragraph" w:customStyle="1" w:styleId="abgguidanceexample">
    <w:name w:val="abg_guidance_example"/>
    <w:basedOn w:val="abgguidancetext"/>
    <w:link w:val="abgguidanceexampleChar"/>
    <w:rsid w:val="006B0B76"/>
    <w:pPr>
      <w:shd w:val="clear" w:color="auto" w:fill="99CCFF"/>
    </w:pPr>
  </w:style>
  <w:style w:type="paragraph" w:customStyle="1" w:styleId="abgbulletedlist2">
    <w:name w:val="abg_bulleted_list2"/>
    <w:basedOn w:val="a"/>
    <w:uiPriority w:val="99"/>
    <w:rsid w:val="006B0B76"/>
    <w:pPr>
      <w:numPr>
        <w:numId w:val="2"/>
      </w:numPr>
      <w:tabs>
        <w:tab w:val="left" w:pos="1134"/>
        <w:tab w:val="left" w:pos="1701"/>
      </w:tabs>
      <w:spacing w:before="60" w:after="120"/>
      <w:ind w:left="1701"/>
    </w:pPr>
    <w:rPr>
      <w:rFonts w:ascii="Times New Roman" w:eastAsia="新細明體" w:hAnsi="Times New Roman" w:cs="Times New Roman"/>
      <w:kern w:val="0"/>
      <w:sz w:val="22"/>
      <w:szCs w:val="20"/>
      <w:lang w:val="en-GB" w:eastAsia="en-US"/>
    </w:rPr>
  </w:style>
  <w:style w:type="paragraph" w:customStyle="1" w:styleId="Default">
    <w:name w:val="Default"/>
    <w:uiPriority w:val="99"/>
    <w:rsid w:val="006B0B76"/>
    <w:pPr>
      <w:widowControl w:val="0"/>
      <w:autoSpaceDE w:val="0"/>
      <w:autoSpaceDN w:val="0"/>
      <w:adjustRightInd w:val="0"/>
    </w:pPr>
    <w:rPr>
      <w:rFonts w:ascii="標楷體" w:eastAsia="標楷體" w:hAnsi="Times New Roman" w:cs="標楷體"/>
      <w:color w:val="000000"/>
      <w:kern w:val="0"/>
      <w:szCs w:val="24"/>
    </w:rPr>
  </w:style>
  <w:style w:type="paragraph" w:customStyle="1" w:styleId="I11">
    <w:name w:val="I標題1.1"/>
    <w:basedOn w:val="a"/>
    <w:uiPriority w:val="99"/>
    <w:qFormat/>
    <w:rsid w:val="006B0B76"/>
    <w:pPr>
      <w:widowControl/>
      <w:tabs>
        <w:tab w:val="left" w:pos="9026"/>
      </w:tabs>
      <w:autoSpaceDE w:val="0"/>
      <w:autoSpaceDN w:val="0"/>
      <w:spacing w:before="100" w:beforeAutospacing="1" w:after="100" w:afterAutospacing="1"/>
      <w:jc w:val="both"/>
    </w:pPr>
    <w:rPr>
      <w:rFonts w:ascii="Calibri" w:eastAsia="標楷體" w:hAnsi="Calibri" w:cs="Arial"/>
      <w:b/>
      <w:color w:val="0000FF"/>
      <w:kern w:val="0"/>
      <w:sz w:val="28"/>
      <w:szCs w:val="28"/>
      <w:lang w:eastAsia="en-US" w:bidi="en-US"/>
    </w:rPr>
  </w:style>
  <w:style w:type="character" w:styleId="afb">
    <w:name w:val="footnote reference"/>
    <w:basedOn w:val="a0"/>
    <w:uiPriority w:val="99"/>
    <w:semiHidden/>
    <w:unhideWhenUsed/>
    <w:rsid w:val="006B0B76"/>
    <w:rPr>
      <w:vertAlign w:val="superscript"/>
    </w:rPr>
  </w:style>
  <w:style w:type="character" w:styleId="afc">
    <w:name w:val="annotation reference"/>
    <w:basedOn w:val="a0"/>
    <w:uiPriority w:val="99"/>
    <w:semiHidden/>
    <w:unhideWhenUsed/>
    <w:rsid w:val="006B0B76"/>
    <w:rPr>
      <w:sz w:val="18"/>
      <w:szCs w:val="18"/>
    </w:rPr>
  </w:style>
  <w:style w:type="character" w:styleId="afd">
    <w:name w:val="endnote reference"/>
    <w:basedOn w:val="a0"/>
    <w:uiPriority w:val="99"/>
    <w:semiHidden/>
    <w:unhideWhenUsed/>
    <w:rsid w:val="006B0B76"/>
    <w:rPr>
      <w:vertAlign w:val="superscript"/>
    </w:rPr>
  </w:style>
  <w:style w:type="table" w:styleId="-5">
    <w:name w:val="Light Shading Accent 5"/>
    <w:basedOn w:val="a1"/>
    <w:uiPriority w:val="60"/>
    <w:rsid w:val="0066766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66766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e">
    <w:name w:val="Hyperlink"/>
    <w:basedOn w:val="a0"/>
    <w:uiPriority w:val="99"/>
    <w:semiHidden/>
    <w:unhideWhenUsed/>
    <w:rsid w:val="00C9369D"/>
    <w:rPr>
      <w:color w:val="0000FF"/>
      <w:u w:val="single"/>
    </w:rPr>
  </w:style>
  <w:style w:type="character" w:customStyle="1" w:styleId="10">
    <w:name w:val="標題 1 字元"/>
    <w:basedOn w:val="a0"/>
    <w:link w:val="1"/>
    <w:uiPriority w:val="9"/>
    <w:rsid w:val="00641CCA"/>
    <w:rPr>
      <w:rFonts w:asciiTheme="majorHAnsi" w:eastAsiaTheme="majorEastAsia" w:hAnsiTheme="majorHAnsi" w:cstheme="majorBidi"/>
      <w:b/>
      <w:bCs/>
      <w:kern w:val="52"/>
      <w:sz w:val="52"/>
      <w:szCs w:val="52"/>
    </w:rPr>
  </w:style>
  <w:style w:type="paragraph" w:styleId="aff">
    <w:name w:val="Note Heading"/>
    <w:basedOn w:val="a"/>
    <w:next w:val="a"/>
    <w:link w:val="aff0"/>
    <w:uiPriority w:val="99"/>
    <w:unhideWhenUsed/>
    <w:rsid w:val="00641CCA"/>
    <w:pPr>
      <w:jc w:val="center"/>
    </w:pPr>
    <w:rPr>
      <w:rFonts w:eastAsia="標楷體" w:hAnsi="標楷體" w:cs="TTB7CF9C5CtCID-WinCharSetFFFF-H"/>
      <w:color w:val="000000"/>
      <w:kern w:val="0"/>
      <w:sz w:val="22"/>
    </w:rPr>
  </w:style>
  <w:style w:type="character" w:customStyle="1" w:styleId="aff0">
    <w:name w:val="註釋標題 字元"/>
    <w:basedOn w:val="a0"/>
    <w:link w:val="aff"/>
    <w:uiPriority w:val="99"/>
    <w:rsid w:val="00641CCA"/>
    <w:rPr>
      <w:rFonts w:eastAsia="標楷體" w:hAnsi="標楷體" w:cs="TTB7CF9C5CtCID-WinCharSetFFFF-H"/>
      <w:color w:val="000000"/>
      <w:kern w:val="0"/>
      <w:sz w:val="22"/>
    </w:rPr>
  </w:style>
</w:styles>
</file>

<file path=word/webSettings.xml><?xml version="1.0" encoding="utf-8"?>
<w:webSettings xmlns:r="http://schemas.openxmlformats.org/officeDocument/2006/relationships" xmlns:w="http://schemas.openxmlformats.org/wordprocessingml/2006/main">
  <w:divs>
    <w:div w:id="41759436">
      <w:bodyDiv w:val="1"/>
      <w:marLeft w:val="0"/>
      <w:marRight w:val="0"/>
      <w:marTop w:val="0"/>
      <w:marBottom w:val="0"/>
      <w:divBdr>
        <w:top w:val="none" w:sz="0" w:space="0" w:color="auto"/>
        <w:left w:val="none" w:sz="0" w:space="0" w:color="auto"/>
        <w:bottom w:val="none" w:sz="0" w:space="0" w:color="auto"/>
        <w:right w:val="none" w:sz="0" w:space="0" w:color="auto"/>
      </w:divBdr>
    </w:div>
    <w:div w:id="81293347">
      <w:bodyDiv w:val="1"/>
      <w:marLeft w:val="0"/>
      <w:marRight w:val="0"/>
      <w:marTop w:val="0"/>
      <w:marBottom w:val="0"/>
      <w:divBdr>
        <w:top w:val="none" w:sz="0" w:space="0" w:color="auto"/>
        <w:left w:val="none" w:sz="0" w:space="0" w:color="auto"/>
        <w:bottom w:val="none" w:sz="0" w:space="0" w:color="auto"/>
        <w:right w:val="none" w:sz="0" w:space="0" w:color="auto"/>
      </w:divBdr>
    </w:div>
    <w:div w:id="284046082">
      <w:bodyDiv w:val="1"/>
      <w:marLeft w:val="0"/>
      <w:marRight w:val="0"/>
      <w:marTop w:val="0"/>
      <w:marBottom w:val="0"/>
      <w:divBdr>
        <w:top w:val="none" w:sz="0" w:space="0" w:color="auto"/>
        <w:left w:val="none" w:sz="0" w:space="0" w:color="auto"/>
        <w:bottom w:val="none" w:sz="0" w:space="0" w:color="auto"/>
        <w:right w:val="none" w:sz="0" w:space="0" w:color="auto"/>
      </w:divBdr>
    </w:div>
    <w:div w:id="414740713">
      <w:bodyDiv w:val="1"/>
      <w:marLeft w:val="0"/>
      <w:marRight w:val="0"/>
      <w:marTop w:val="0"/>
      <w:marBottom w:val="0"/>
      <w:divBdr>
        <w:top w:val="none" w:sz="0" w:space="0" w:color="auto"/>
        <w:left w:val="none" w:sz="0" w:space="0" w:color="auto"/>
        <w:bottom w:val="none" w:sz="0" w:space="0" w:color="auto"/>
        <w:right w:val="none" w:sz="0" w:space="0" w:color="auto"/>
      </w:divBdr>
    </w:div>
    <w:div w:id="894122752">
      <w:bodyDiv w:val="1"/>
      <w:marLeft w:val="0"/>
      <w:marRight w:val="0"/>
      <w:marTop w:val="0"/>
      <w:marBottom w:val="0"/>
      <w:divBdr>
        <w:top w:val="none" w:sz="0" w:space="0" w:color="auto"/>
        <w:left w:val="none" w:sz="0" w:space="0" w:color="auto"/>
        <w:bottom w:val="none" w:sz="0" w:space="0" w:color="auto"/>
        <w:right w:val="none" w:sz="0" w:space="0" w:color="auto"/>
      </w:divBdr>
    </w:div>
    <w:div w:id="1018971610">
      <w:bodyDiv w:val="1"/>
      <w:marLeft w:val="0"/>
      <w:marRight w:val="0"/>
      <w:marTop w:val="0"/>
      <w:marBottom w:val="0"/>
      <w:divBdr>
        <w:top w:val="none" w:sz="0" w:space="0" w:color="auto"/>
        <w:left w:val="none" w:sz="0" w:space="0" w:color="auto"/>
        <w:bottom w:val="none" w:sz="0" w:space="0" w:color="auto"/>
        <w:right w:val="none" w:sz="0" w:space="0" w:color="auto"/>
      </w:divBdr>
    </w:div>
    <w:div w:id="1299413262">
      <w:bodyDiv w:val="1"/>
      <w:marLeft w:val="0"/>
      <w:marRight w:val="0"/>
      <w:marTop w:val="0"/>
      <w:marBottom w:val="0"/>
      <w:divBdr>
        <w:top w:val="none" w:sz="0" w:space="0" w:color="auto"/>
        <w:left w:val="none" w:sz="0" w:space="0" w:color="auto"/>
        <w:bottom w:val="none" w:sz="0" w:space="0" w:color="auto"/>
        <w:right w:val="none" w:sz="0" w:space="0" w:color="auto"/>
      </w:divBdr>
    </w:div>
    <w:div w:id="1495337720">
      <w:bodyDiv w:val="1"/>
      <w:marLeft w:val="0"/>
      <w:marRight w:val="0"/>
      <w:marTop w:val="0"/>
      <w:marBottom w:val="0"/>
      <w:divBdr>
        <w:top w:val="none" w:sz="0" w:space="0" w:color="auto"/>
        <w:left w:val="none" w:sz="0" w:space="0" w:color="auto"/>
        <w:bottom w:val="none" w:sz="0" w:space="0" w:color="auto"/>
        <w:right w:val="none" w:sz="0" w:space="0" w:color="auto"/>
      </w:divBdr>
    </w:div>
    <w:div w:id="2037197818">
      <w:bodyDiv w:val="1"/>
      <w:marLeft w:val="0"/>
      <w:marRight w:val="0"/>
      <w:marTop w:val="0"/>
      <w:marBottom w:val="0"/>
      <w:divBdr>
        <w:top w:val="none" w:sz="0" w:space="0" w:color="auto"/>
        <w:left w:val="none" w:sz="0" w:space="0" w:color="auto"/>
        <w:bottom w:val="none" w:sz="0" w:space="0" w:color="auto"/>
        <w:right w:val="none" w:sz="0" w:space="0" w:color="auto"/>
      </w:divBdr>
    </w:div>
    <w:div w:id="21369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frs.org.tw/publications.html"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578C-C101-42B8-8CA8-F4463D0B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1583</Words>
  <Characters>9027</Characters>
  <Application>Microsoft Office Word</Application>
  <DocSecurity>0</DocSecurity>
  <Lines>75</Lines>
  <Paragraphs>21</Paragraphs>
  <ScaleCrop>false</ScaleCrop>
  <Company>Deloitte Touche Tohmatsu Services, Inc.</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dc:creator>
  <cp:lastModifiedBy>00</cp:lastModifiedBy>
  <cp:revision>21</cp:revision>
  <cp:lastPrinted>2014-06-05T08:15:00Z</cp:lastPrinted>
  <dcterms:created xsi:type="dcterms:W3CDTF">2014-06-05T09:55:00Z</dcterms:created>
  <dcterms:modified xsi:type="dcterms:W3CDTF">2014-06-17T01:56:00Z</dcterms:modified>
</cp:coreProperties>
</file>